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9DC" w:rsidRDefault="002369DC" w:rsidP="00766055">
      <w:pPr>
        <w:jc w:val="center"/>
        <w:rPr>
          <w:b/>
          <w:color w:val="4F81BD" w:themeColor="accent1"/>
          <w:sz w:val="32"/>
          <w:szCs w:val="32"/>
        </w:rPr>
      </w:pPr>
      <w:r>
        <w:rPr>
          <w:noProof/>
        </w:rPr>
        <w:drawing>
          <wp:inline distT="0" distB="0" distL="0" distR="0" wp14:anchorId="256D249A" wp14:editId="6721DC78">
            <wp:extent cx="3705170" cy="8077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241" cy="822580"/>
                    </a:xfrm>
                    <a:prstGeom prst="rect">
                      <a:avLst/>
                    </a:prstGeom>
                    <a:noFill/>
                    <a:ln>
                      <a:noFill/>
                    </a:ln>
                  </pic:spPr>
                </pic:pic>
              </a:graphicData>
            </a:graphic>
          </wp:inline>
        </w:drawing>
      </w:r>
    </w:p>
    <w:p w:rsidR="002369DC" w:rsidRDefault="002369DC" w:rsidP="00766055">
      <w:pPr>
        <w:jc w:val="center"/>
        <w:rPr>
          <w:b/>
          <w:color w:val="4F81BD" w:themeColor="accent1"/>
          <w:sz w:val="32"/>
          <w:szCs w:val="32"/>
        </w:rPr>
      </w:pPr>
    </w:p>
    <w:p w:rsidR="00BB7A26" w:rsidRDefault="00BB7A26" w:rsidP="00766055">
      <w:pPr>
        <w:jc w:val="center"/>
        <w:rPr>
          <w:b/>
          <w:color w:val="4F81BD" w:themeColor="accent1"/>
          <w:sz w:val="32"/>
          <w:szCs w:val="32"/>
        </w:rPr>
      </w:pPr>
    </w:p>
    <w:p w:rsidR="00723710" w:rsidRDefault="00723710" w:rsidP="00766055">
      <w:pPr>
        <w:jc w:val="center"/>
        <w:rPr>
          <w:b/>
          <w:color w:val="4F81BD" w:themeColor="accent1"/>
          <w:sz w:val="32"/>
          <w:szCs w:val="32"/>
        </w:rPr>
      </w:pPr>
    </w:p>
    <w:p w:rsidR="00EA07D2" w:rsidRPr="00766055" w:rsidRDefault="00EA07D2" w:rsidP="00766055">
      <w:pPr>
        <w:jc w:val="center"/>
        <w:rPr>
          <w:b/>
          <w:color w:val="4F81BD" w:themeColor="accent1"/>
          <w:sz w:val="32"/>
          <w:szCs w:val="32"/>
        </w:rPr>
      </w:pPr>
      <w:r w:rsidRPr="00766055">
        <w:rPr>
          <w:b/>
          <w:color w:val="4F81BD" w:themeColor="accent1"/>
          <w:sz w:val="32"/>
          <w:szCs w:val="32"/>
        </w:rPr>
        <w:t>202</w:t>
      </w:r>
      <w:r w:rsidR="00472EEB">
        <w:rPr>
          <w:b/>
          <w:color w:val="4F81BD" w:themeColor="accent1"/>
          <w:sz w:val="32"/>
          <w:szCs w:val="32"/>
        </w:rPr>
        <w:t>6</w:t>
      </w:r>
      <w:r w:rsidRPr="00766055">
        <w:rPr>
          <w:b/>
          <w:color w:val="4F81BD" w:themeColor="accent1"/>
          <w:sz w:val="32"/>
          <w:szCs w:val="32"/>
        </w:rPr>
        <w:t xml:space="preserve"> ICN-WBG Competition Advocacy </w:t>
      </w:r>
      <w:r w:rsidR="00766055">
        <w:rPr>
          <w:b/>
          <w:color w:val="4F81BD" w:themeColor="accent1"/>
          <w:sz w:val="32"/>
          <w:szCs w:val="32"/>
        </w:rPr>
        <w:t>Application FORM</w:t>
      </w:r>
    </w:p>
    <w:p w:rsidR="00EA07D2" w:rsidRDefault="00EA07D2" w:rsidP="00EA07D2"/>
    <w:p w:rsidR="00723710" w:rsidRDefault="00723710" w:rsidP="00EA07D2"/>
    <w:p w:rsidR="00766055" w:rsidRPr="002369DC" w:rsidRDefault="004B69B4" w:rsidP="00EA07D2">
      <w:pPr>
        <w:rPr>
          <w:b/>
          <w:color w:val="4F81BD" w:themeColor="accent1"/>
        </w:rPr>
      </w:pPr>
      <w:r w:rsidRPr="002369DC">
        <w:rPr>
          <w:b/>
          <w:color w:val="4F81BD" w:themeColor="accent1"/>
        </w:rPr>
        <w:t>I</w:t>
      </w:r>
      <w:r w:rsidR="002369DC">
        <w:rPr>
          <w:b/>
          <w:color w:val="4F81BD" w:themeColor="accent1"/>
        </w:rPr>
        <w:t>nstructions</w:t>
      </w:r>
    </w:p>
    <w:p w:rsidR="004B69B4" w:rsidRDefault="004B69B4" w:rsidP="004B69B4"/>
    <w:p w:rsidR="002369DC" w:rsidRDefault="002369DC" w:rsidP="002369DC">
      <w:pPr>
        <w:pStyle w:val="Paragrafoelenco"/>
        <w:numPr>
          <w:ilvl w:val="0"/>
          <w:numId w:val="28"/>
        </w:numPr>
      </w:pPr>
      <w:r>
        <w:t xml:space="preserve">Like previous editions, the contest is open to all competition agencies. Therefore, also more experienced agencies are welcome to submit their advocacy stories; </w:t>
      </w:r>
    </w:p>
    <w:p w:rsidR="002369DC" w:rsidRDefault="002369DC" w:rsidP="002369DC">
      <w:pPr>
        <w:pStyle w:val="Paragrafoelenco"/>
        <w:numPr>
          <w:ilvl w:val="0"/>
          <w:numId w:val="28"/>
        </w:numPr>
      </w:pPr>
      <w:r>
        <w:t xml:space="preserve">The contest is also open to all public bodies and non-governmental organizations promoting competition policy. If you are not a member of the ICN, you should reach out to the ICN member in your jurisdiction to inform them about your intention to participate in the contest. A list of all ICN members is available </w:t>
      </w:r>
      <w:hyperlink r:id="rId9" w:history="1">
        <w:r w:rsidRPr="004E61FF">
          <w:rPr>
            <w:rStyle w:val="Collegamentoipertestuale"/>
          </w:rPr>
          <w:t>here</w:t>
        </w:r>
      </w:hyperlink>
      <w:r>
        <w:t xml:space="preserve">; </w:t>
      </w:r>
    </w:p>
    <w:p w:rsidR="002369DC" w:rsidRDefault="002369DC" w:rsidP="002369DC">
      <w:pPr>
        <w:pStyle w:val="Paragrafoelenco"/>
        <w:numPr>
          <w:ilvl w:val="0"/>
          <w:numId w:val="28"/>
        </w:numPr>
      </w:pPr>
      <w:r>
        <w:t xml:space="preserve">Joint submissions from ICN members with other governmental bodies as well as non-governmental organizations are welcome (and encouraged!); </w:t>
      </w:r>
      <w:bookmarkStart w:id="0" w:name="_GoBack"/>
      <w:bookmarkEnd w:id="0"/>
    </w:p>
    <w:p w:rsidR="002369DC" w:rsidRDefault="002369DC" w:rsidP="002369DC">
      <w:pPr>
        <w:pStyle w:val="Paragrafoelenco"/>
        <w:numPr>
          <w:ilvl w:val="0"/>
          <w:numId w:val="28"/>
        </w:numPr>
      </w:pPr>
      <w:r>
        <w:t xml:space="preserve">Stories submitted to previous editions of the contest that were not awarded are eligible for re-submission; </w:t>
      </w:r>
    </w:p>
    <w:p w:rsidR="002369DC" w:rsidRDefault="002369DC" w:rsidP="002369DC">
      <w:pPr>
        <w:pStyle w:val="Paragrafoelenco"/>
        <w:numPr>
          <w:ilvl w:val="0"/>
          <w:numId w:val="28"/>
        </w:numPr>
      </w:pPr>
      <w:r>
        <w:t>There is no limit in the number of stories that each applicant</w:t>
      </w:r>
      <w:r w:rsidR="00723710">
        <w:t>;</w:t>
      </w:r>
    </w:p>
    <w:p w:rsidR="00723710" w:rsidRDefault="00723710" w:rsidP="002369DC">
      <w:pPr>
        <w:pStyle w:val="Paragrafoelenco"/>
        <w:numPr>
          <w:ilvl w:val="0"/>
          <w:numId w:val="28"/>
        </w:numPr>
      </w:pPr>
      <w:r w:rsidRPr="00723710">
        <w:t xml:space="preserve">The deadline for submissions is </w:t>
      </w:r>
      <w:r w:rsidRPr="00723710">
        <w:rPr>
          <w:b/>
        </w:rPr>
        <w:t>23 January 2026</w:t>
      </w:r>
      <w:r>
        <w:t>;</w:t>
      </w:r>
    </w:p>
    <w:p w:rsidR="00723710" w:rsidRDefault="00723710" w:rsidP="00723710"/>
    <w:p w:rsidR="00723710" w:rsidRDefault="00723710" w:rsidP="00723710">
      <w:pPr>
        <w:rPr>
          <w:b/>
          <w:color w:val="FF0000"/>
        </w:rPr>
      </w:pPr>
      <w:r w:rsidRPr="00227D69">
        <w:rPr>
          <w:b/>
          <w:color w:val="FF0000"/>
        </w:rPr>
        <w:t>The online survey is the only valid application method. Please apply here</w:t>
      </w:r>
      <w:r>
        <w:rPr>
          <w:b/>
          <w:color w:val="FF0000"/>
        </w:rPr>
        <w:t>:</w:t>
      </w:r>
    </w:p>
    <w:p w:rsidR="00723710" w:rsidRDefault="004E61FF" w:rsidP="00723710">
      <w:pPr>
        <w:rPr>
          <w:rStyle w:val="Collegamentoipertestuale"/>
        </w:rPr>
      </w:pPr>
      <w:hyperlink r:id="rId10" w:history="1">
        <w:r w:rsidR="00723710" w:rsidRPr="000015D8">
          <w:rPr>
            <w:rStyle w:val="Collegamentoipertestuale"/>
          </w:rPr>
          <w:t>https://www.worldbank.org/en/events/2025/12/05/competition-advocacy-contest-2026</w:t>
        </w:r>
      </w:hyperlink>
    </w:p>
    <w:p w:rsidR="00723710" w:rsidRDefault="00723710" w:rsidP="00723710"/>
    <w:p w:rsidR="009C7D46" w:rsidRDefault="009C7D46" w:rsidP="00EA07D2"/>
    <w:p w:rsidR="004B69B4" w:rsidRDefault="004B69B4" w:rsidP="00EA07D2"/>
    <w:p w:rsidR="00EA07D2" w:rsidRPr="00114472" w:rsidRDefault="00EA07D2" w:rsidP="00EA07D2">
      <w:pPr>
        <w:rPr>
          <w:b/>
          <w:u w:val="single"/>
        </w:rPr>
      </w:pPr>
      <w:r w:rsidRPr="00114472">
        <w:rPr>
          <w:b/>
          <w:u w:val="single"/>
        </w:rPr>
        <w:t>Advocacy story</w:t>
      </w:r>
    </w:p>
    <w:p w:rsidR="00766055" w:rsidRDefault="00766055" w:rsidP="00EA07D2"/>
    <w:p w:rsidR="00EA07D2" w:rsidRDefault="00EA07D2" w:rsidP="00EA07D2">
      <w:r>
        <w:t>This section is reviewed blind. Please do not add references that can reveal your country/jurisdiction. If needed, please use general references such as "the Ministry", "the Agency", "the Company", etc.</w:t>
      </w:r>
    </w:p>
    <w:p w:rsidR="00EA07D2" w:rsidRDefault="00EA07D2" w:rsidP="00EA07D2"/>
    <w:p w:rsidR="00EA07D2" w:rsidRPr="00EA07D2" w:rsidRDefault="00EA07D2" w:rsidP="00EA07D2">
      <w:pPr>
        <w:rPr>
          <w:b/>
        </w:rPr>
      </w:pPr>
      <w:r w:rsidRPr="00EA07D2">
        <w:rPr>
          <w:b/>
        </w:rPr>
        <w:t>1. Title of the advocacy story</w:t>
      </w:r>
    </w:p>
    <w:p w:rsidR="00EA07D2" w:rsidRDefault="00EA07D2" w:rsidP="00EA07D2"/>
    <w:p w:rsidR="00EA07D2" w:rsidRPr="00EA07D2" w:rsidRDefault="00EA07D2" w:rsidP="00EA07D2">
      <w:pPr>
        <w:rPr>
          <w:b/>
        </w:rPr>
      </w:pPr>
      <w:r w:rsidRPr="00EA07D2">
        <w:rPr>
          <w:b/>
        </w:rPr>
        <w:t>2. Competition Advocacy Contest Themes</w:t>
      </w:r>
    </w:p>
    <w:p w:rsidR="00472EEB" w:rsidRPr="002369DC" w:rsidRDefault="00227D69" w:rsidP="00EA07D2">
      <w:pPr>
        <w:rPr>
          <w:i/>
        </w:rPr>
      </w:pPr>
      <w:r w:rsidRPr="002369DC">
        <w:rPr>
          <w:i/>
        </w:rPr>
        <w:t>(See the Annex for a description of the themes)</w:t>
      </w:r>
    </w:p>
    <w:p w:rsidR="00227D69" w:rsidRDefault="00227D69" w:rsidP="00EA07D2"/>
    <w:p w:rsidR="00EA07D2" w:rsidRDefault="00EA07D2" w:rsidP="00EA07D2">
      <w:r>
        <w:t>Please select:</w:t>
      </w:r>
    </w:p>
    <w:p w:rsidR="00EA07D2" w:rsidRDefault="00EA07D2" w:rsidP="00EA07D2"/>
    <w:p w:rsidR="00EA07D2" w:rsidRDefault="00472EEB" w:rsidP="00EA07D2">
      <w:r w:rsidRPr="00472EEB">
        <w:t>Theme 1 – Advancing competition advocacy in times of rapid changes in the global landscape</w:t>
      </w:r>
    </w:p>
    <w:p w:rsidR="00EA07D2" w:rsidRDefault="00472EEB" w:rsidP="00EA07D2">
      <w:r w:rsidRPr="00472EEB">
        <w:t>Theme 2 – Promoting a culture of compliance through innovative advocacy and digital tools</w:t>
      </w:r>
    </w:p>
    <w:p w:rsidR="00EA07D2" w:rsidRDefault="00472EEB" w:rsidP="00EA07D2">
      <w:r w:rsidRPr="00472EEB">
        <w:t>Theme 3 – Embedding competition principles in the green and digital transitions</w:t>
      </w:r>
    </w:p>
    <w:p w:rsidR="00504A28" w:rsidRDefault="00472EEB" w:rsidP="00EA07D2">
      <w:r w:rsidRPr="00472EEB">
        <w:t>Theme 4 – Global convergence vs. country specificity: contextualizing competition law and policy</w:t>
      </w:r>
    </w:p>
    <w:p w:rsidR="00504A28" w:rsidRDefault="00504A28" w:rsidP="00EA07D2"/>
    <w:p w:rsidR="00EA07D2" w:rsidRPr="00EA07D2" w:rsidRDefault="00EA07D2" w:rsidP="00EA07D2">
      <w:pPr>
        <w:rPr>
          <w:b/>
        </w:rPr>
      </w:pPr>
      <w:r w:rsidRPr="00EA07D2">
        <w:rPr>
          <w:b/>
        </w:rPr>
        <w:t>3. Please summarize the advocacy initiative. Please include information covering (</w:t>
      </w:r>
      <w:proofErr w:type="spellStart"/>
      <w:r w:rsidRPr="00EA07D2">
        <w:rPr>
          <w:b/>
        </w:rPr>
        <w:t>i</w:t>
      </w:r>
      <w:proofErr w:type="spellEnd"/>
      <w:r w:rsidRPr="00EA07D2">
        <w:rPr>
          <w:b/>
        </w:rPr>
        <w:t>) socioeconomic relevance of the intervention, (ii) the issue tackled by the initiative, (iii) the solution proposed/implemented and/or (iv) impact when available. (150 words)</w:t>
      </w:r>
    </w:p>
    <w:p w:rsidR="00EA07D2" w:rsidRDefault="00EA07D2" w:rsidP="00EA07D2"/>
    <w:p w:rsidR="00EA07D2" w:rsidRPr="00EA07D2" w:rsidRDefault="00EA07D2" w:rsidP="00EA07D2">
      <w:pPr>
        <w:rPr>
          <w:b/>
        </w:rPr>
      </w:pPr>
      <w:r w:rsidRPr="00EA07D2">
        <w:rPr>
          <w:b/>
        </w:rPr>
        <w:t>4. What was the competition issue under assessment? (150 words)</w:t>
      </w:r>
    </w:p>
    <w:p w:rsidR="00EA07D2" w:rsidRDefault="00EA07D2" w:rsidP="00EA07D2"/>
    <w:p w:rsidR="00EA07D2" w:rsidRPr="00EA07D2" w:rsidRDefault="00EA07D2" w:rsidP="00EA07D2">
      <w:pPr>
        <w:rPr>
          <w:b/>
        </w:rPr>
      </w:pPr>
      <w:r w:rsidRPr="00EA07D2">
        <w:rPr>
          <w:b/>
        </w:rPr>
        <w:t>5. What was the strategy used to address the issue? It can include, for instance, communication strategy, resources allocated, evidence building. (150 words)</w:t>
      </w:r>
    </w:p>
    <w:p w:rsidR="00EA07D2" w:rsidRDefault="00EA07D2" w:rsidP="00EA07D2"/>
    <w:p w:rsidR="00EA07D2" w:rsidRPr="00EA07D2" w:rsidRDefault="00EA07D2" w:rsidP="00EA07D2">
      <w:pPr>
        <w:rPr>
          <w:b/>
        </w:rPr>
      </w:pPr>
      <w:r w:rsidRPr="00EA07D2">
        <w:rPr>
          <w:b/>
        </w:rPr>
        <w:t xml:space="preserve">6. What were the main messages and recommendations conveyed by the advocacy activity? </w:t>
      </w:r>
    </w:p>
    <w:p w:rsidR="00EA07D2" w:rsidRDefault="00EA07D2" w:rsidP="00EA07D2"/>
    <w:p w:rsidR="00EA07D2" w:rsidRPr="00EA07D2" w:rsidRDefault="00EA07D2" w:rsidP="00EA07D2">
      <w:pPr>
        <w:rPr>
          <w:b/>
        </w:rPr>
      </w:pPr>
      <w:r w:rsidRPr="00EA07D2">
        <w:rPr>
          <w:b/>
        </w:rPr>
        <w:t>7. Did this initiative involve collaboration with other agencies/organizations and stakeholders? If yes, please detail the nature of the collaboration. (150 words)</w:t>
      </w:r>
    </w:p>
    <w:p w:rsidR="00EA07D2" w:rsidRPr="00EA07D2" w:rsidRDefault="00EA07D2" w:rsidP="00EA07D2">
      <w:pPr>
        <w:rPr>
          <w:b/>
        </w:rPr>
      </w:pPr>
    </w:p>
    <w:p w:rsidR="00EA07D2" w:rsidRPr="00EA07D2" w:rsidRDefault="00EA07D2" w:rsidP="00EA07D2">
      <w:pPr>
        <w:rPr>
          <w:b/>
        </w:rPr>
      </w:pPr>
      <w:r w:rsidRPr="00EA07D2">
        <w:rPr>
          <w:b/>
        </w:rPr>
        <w:t>8. What were the results of the initiative? For example: (</w:t>
      </w:r>
      <w:proofErr w:type="spellStart"/>
      <w:r w:rsidRPr="00EA07D2">
        <w:rPr>
          <w:b/>
        </w:rPr>
        <w:t>i</w:t>
      </w:r>
      <w:proofErr w:type="spellEnd"/>
      <w:r w:rsidRPr="00EA07D2">
        <w:rPr>
          <w:b/>
        </w:rPr>
        <w:t xml:space="preserve">) recommendations were implemented by public bodies, (ii) opinions were </w:t>
      </w:r>
      <w:r w:rsidRPr="00EA07D2">
        <w:rPr>
          <w:b/>
        </w:rPr>
        <w:lastRenderedPageBreak/>
        <w:t>published or disseminated, (iii) other immediate changes generated by the initiative. (150 words)</w:t>
      </w:r>
    </w:p>
    <w:p w:rsidR="00EA07D2" w:rsidRPr="00EA07D2" w:rsidRDefault="00EA07D2" w:rsidP="00EA07D2">
      <w:pPr>
        <w:rPr>
          <w:b/>
        </w:rPr>
      </w:pPr>
    </w:p>
    <w:p w:rsidR="00EA07D2" w:rsidRPr="00EA07D2" w:rsidRDefault="00EA07D2" w:rsidP="00EA07D2">
      <w:pPr>
        <w:rPr>
          <w:b/>
        </w:rPr>
      </w:pPr>
      <w:r w:rsidRPr="00EA07D2">
        <w:rPr>
          <w:b/>
        </w:rPr>
        <w:t>9. Please explain whether this initiative (</w:t>
      </w:r>
      <w:proofErr w:type="spellStart"/>
      <w:r w:rsidRPr="00EA07D2">
        <w:rPr>
          <w:b/>
        </w:rPr>
        <w:t>i</w:t>
      </w:r>
      <w:proofErr w:type="spellEnd"/>
      <w:r w:rsidRPr="00EA07D2">
        <w:rPr>
          <w:b/>
        </w:rPr>
        <w:t>) is inspired by initiatives of other jurisdictions, (ii) is inspired by other initiatives in your jurisdiction, or (iii) inspired other initiatives locally or abroad. Please provide brief information on other initiatives if applicable. (150 words)</w:t>
      </w:r>
    </w:p>
    <w:p w:rsidR="00EA07D2" w:rsidRDefault="00EA07D2" w:rsidP="00EA07D2"/>
    <w:p w:rsidR="00EA07D2" w:rsidRPr="00766055" w:rsidRDefault="00EA07D2" w:rsidP="00EA07D2">
      <w:pPr>
        <w:rPr>
          <w:b/>
        </w:rPr>
      </w:pPr>
      <w:r w:rsidRPr="00766055">
        <w:rPr>
          <w:b/>
        </w:rPr>
        <w:t>10. What were the actual or expected socioeconomic impacts? For instance, level of consumer savings, investment, value added, entry of new firms, others. (150 words)</w:t>
      </w:r>
    </w:p>
    <w:p w:rsidR="008E4BFB" w:rsidRDefault="008E4BFB" w:rsidP="00EA07D2"/>
    <w:p w:rsidR="00EA07D2" w:rsidRPr="00766055" w:rsidRDefault="00EA07D2" w:rsidP="00EA07D2">
      <w:pPr>
        <w:rPr>
          <w:b/>
        </w:rPr>
      </w:pPr>
      <w:r w:rsidRPr="00766055">
        <w:rPr>
          <w:b/>
        </w:rPr>
        <w:t>11. Please provide lessons learned with the initiative. (150 words)</w:t>
      </w:r>
    </w:p>
    <w:p w:rsidR="00E55F6A" w:rsidRDefault="00E55F6A" w:rsidP="00EA07D2"/>
    <w:p w:rsidR="00EA07D2" w:rsidRDefault="00EA07D2" w:rsidP="00EA07D2"/>
    <w:p w:rsidR="00EA07D2" w:rsidRPr="00766055" w:rsidRDefault="00EA07D2" w:rsidP="00EA07D2">
      <w:pPr>
        <w:rPr>
          <w:b/>
          <w:u w:val="single"/>
        </w:rPr>
      </w:pPr>
      <w:r w:rsidRPr="00766055">
        <w:rPr>
          <w:b/>
          <w:u w:val="single"/>
        </w:rPr>
        <w:t>Data gathering</w:t>
      </w:r>
    </w:p>
    <w:p w:rsidR="00766055" w:rsidRDefault="00766055" w:rsidP="00EA07D2"/>
    <w:p w:rsidR="00EA07D2" w:rsidRPr="00766055" w:rsidRDefault="00EA07D2" w:rsidP="00EA07D2">
      <w:pPr>
        <w:rPr>
          <w:b/>
        </w:rPr>
      </w:pPr>
      <w:r w:rsidRPr="00766055">
        <w:rPr>
          <w:b/>
        </w:rPr>
        <w:t>12. What were the affected sectors / markets (include both product/service and geographical area - local, regional, national, international)?</w:t>
      </w:r>
    </w:p>
    <w:p w:rsidR="00766055" w:rsidRDefault="00766055" w:rsidP="00EA07D2"/>
    <w:p w:rsidR="00EA07D2" w:rsidRPr="00766055" w:rsidRDefault="00EA07D2" w:rsidP="00EA07D2">
      <w:pPr>
        <w:rPr>
          <w:b/>
        </w:rPr>
      </w:pPr>
      <w:r w:rsidRPr="00766055">
        <w:rPr>
          <w:b/>
        </w:rPr>
        <w:t>13. What were the start and final dates of inquiry/initiative (if applicable)?</w:t>
      </w:r>
    </w:p>
    <w:p w:rsidR="00766055" w:rsidRDefault="00766055" w:rsidP="00EA07D2"/>
    <w:p w:rsidR="00EA07D2" w:rsidRPr="00766055" w:rsidRDefault="00EA07D2" w:rsidP="00EA07D2">
      <w:pPr>
        <w:rPr>
          <w:b/>
        </w:rPr>
      </w:pPr>
      <w:r w:rsidRPr="00766055">
        <w:rPr>
          <w:b/>
        </w:rPr>
        <w:t>14. Please provide estimated resources mobilized (number of staff, budget). Please also inform if the agency has a team dedicated to advocacy promotion - if yes, please indicate resources (staff).</w:t>
      </w:r>
    </w:p>
    <w:p w:rsidR="00766055" w:rsidRDefault="00766055" w:rsidP="00EA07D2"/>
    <w:p w:rsidR="00EA07D2" w:rsidRPr="00766055" w:rsidRDefault="00EA07D2" w:rsidP="00EA07D2">
      <w:pPr>
        <w:rPr>
          <w:b/>
        </w:rPr>
      </w:pPr>
      <w:r w:rsidRPr="00766055">
        <w:rPr>
          <w:b/>
        </w:rPr>
        <w:t>15. If this initiative involved collaboration with other agencies/organizations and stakeholders, please list public and private stakeholders.</w:t>
      </w:r>
    </w:p>
    <w:p w:rsidR="00766055" w:rsidRDefault="00766055" w:rsidP="00EA07D2"/>
    <w:p w:rsidR="00EA07D2" w:rsidRPr="00766055" w:rsidRDefault="00EA07D2" w:rsidP="00EA07D2">
      <w:pPr>
        <w:rPr>
          <w:b/>
        </w:rPr>
      </w:pPr>
      <w:r w:rsidRPr="00766055">
        <w:rPr>
          <w:b/>
        </w:rPr>
        <w:t>16. Was there an impact evaluation assessment? (if yes, please provide the link if publicly available)</w:t>
      </w:r>
    </w:p>
    <w:p w:rsidR="00766055" w:rsidRDefault="00766055" w:rsidP="00EA07D2"/>
    <w:p w:rsidR="00EA07D2" w:rsidRPr="00766055" w:rsidRDefault="00EA07D2" w:rsidP="00EA07D2">
      <w:pPr>
        <w:rPr>
          <w:b/>
        </w:rPr>
      </w:pPr>
      <w:r w:rsidRPr="00766055">
        <w:rPr>
          <w:b/>
        </w:rPr>
        <w:t>17. Additional comments</w:t>
      </w:r>
    </w:p>
    <w:p w:rsidR="00766055" w:rsidRDefault="00766055" w:rsidP="00EA07D2"/>
    <w:p w:rsidR="002369DC" w:rsidRDefault="002369DC" w:rsidP="00EA07D2"/>
    <w:p w:rsidR="00766055" w:rsidRPr="00766055" w:rsidRDefault="00766055" w:rsidP="00766055">
      <w:pPr>
        <w:rPr>
          <w:b/>
          <w:u w:val="single"/>
        </w:rPr>
      </w:pPr>
      <w:r w:rsidRPr="00766055">
        <w:rPr>
          <w:b/>
          <w:u w:val="single"/>
        </w:rPr>
        <w:lastRenderedPageBreak/>
        <w:t>General Information</w:t>
      </w:r>
    </w:p>
    <w:p w:rsidR="00766055" w:rsidRDefault="00766055" w:rsidP="00766055"/>
    <w:p w:rsidR="00766055" w:rsidRPr="00766055" w:rsidRDefault="00766055" w:rsidP="00766055">
      <w:pPr>
        <w:rPr>
          <w:b/>
        </w:rPr>
      </w:pPr>
      <w:r w:rsidRPr="00766055">
        <w:rPr>
          <w:b/>
        </w:rPr>
        <w:t>18. Institution</w:t>
      </w:r>
    </w:p>
    <w:p w:rsidR="00766055" w:rsidRPr="00766055" w:rsidRDefault="00766055" w:rsidP="00766055">
      <w:pPr>
        <w:rPr>
          <w:b/>
        </w:rPr>
      </w:pPr>
    </w:p>
    <w:p w:rsidR="00766055" w:rsidRPr="00766055" w:rsidRDefault="00766055" w:rsidP="00766055">
      <w:pPr>
        <w:rPr>
          <w:b/>
        </w:rPr>
      </w:pPr>
      <w:r w:rsidRPr="00766055">
        <w:rPr>
          <w:b/>
        </w:rPr>
        <w:t>19. Country/jurisdiction</w:t>
      </w:r>
    </w:p>
    <w:p w:rsidR="00766055" w:rsidRPr="00766055" w:rsidRDefault="00766055" w:rsidP="00766055">
      <w:pPr>
        <w:rPr>
          <w:b/>
        </w:rPr>
      </w:pPr>
    </w:p>
    <w:p w:rsidR="00766055" w:rsidRPr="00766055" w:rsidRDefault="00766055" w:rsidP="00766055">
      <w:pPr>
        <w:rPr>
          <w:b/>
        </w:rPr>
      </w:pPr>
      <w:r w:rsidRPr="00766055">
        <w:rPr>
          <w:b/>
        </w:rPr>
        <w:t>20. Name of the contact person and position / title</w:t>
      </w:r>
    </w:p>
    <w:p w:rsidR="00766055" w:rsidRPr="00766055" w:rsidRDefault="00766055" w:rsidP="00766055">
      <w:pPr>
        <w:rPr>
          <w:b/>
        </w:rPr>
      </w:pPr>
    </w:p>
    <w:p w:rsidR="00766055" w:rsidRPr="00766055" w:rsidRDefault="00766055" w:rsidP="00766055">
      <w:pPr>
        <w:rPr>
          <w:b/>
        </w:rPr>
      </w:pPr>
      <w:r w:rsidRPr="00766055">
        <w:rPr>
          <w:b/>
        </w:rPr>
        <w:t>21. Email address</w:t>
      </w:r>
    </w:p>
    <w:p w:rsidR="00766055" w:rsidRDefault="00766055" w:rsidP="00766055"/>
    <w:p w:rsidR="00766055" w:rsidRDefault="00766055" w:rsidP="00766055"/>
    <w:p w:rsidR="00227D69" w:rsidRDefault="00227D69" w:rsidP="00766055">
      <w:pPr>
        <w:rPr>
          <w:b/>
          <w:color w:val="FF0000"/>
        </w:rPr>
      </w:pPr>
      <w:r>
        <w:rPr>
          <w:b/>
          <w:color w:val="FF0000"/>
        </w:rPr>
        <w:br w:type="page"/>
      </w:r>
    </w:p>
    <w:p w:rsidR="00227D69" w:rsidRDefault="00227D69" w:rsidP="00227D69">
      <w:pPr>
        <w:autoSpaceDE w:val="0"/>
        <w:autoSpaceDN w:val="0"/>
        <w:adjustRightInd w:val="0"/>
        <w:spacing w:line="240" w:lineRule="auto"/>
        <w:jc w:val="center"/>
        <w:rPr>
          <w:b/>
          <w:szCs w:val="28"/>
        </w:rPr>
      </w:pPr>
      <w:r w:rsidRPr="00227D69">
        <w:rPr>
          <w:b/>
          <w:szCs w:val="28"/>
        </w:rPr>
        <w:lastRenderedPageBreak/>
        <w:t xml:space="preserve">ANNEX – 2026 COMPETITION ADVOCACY CONTEST </w:t>
      </w:r>
    </w:p>
    <w:p w:rsidR="00227D69" w:rsidRPr="00227D69" w:rsidRDefault="00227D69" w:rsidP="00227D69">
      <w:pPr>
        <w:autoSpaceDE w:val="0"/>
        <w:autoSpaceDN w:val="0"/>
        <w:adjustRightInd w:val="0"/>
        <w:spacing w:line="240" w:lineRule="auto"/>
        <w:jc w:val="center"/>
        <w:rPr>
          <w:b/>
          <w:szCs w:val="28"/>
        </w:rPr>
      </w:pPr>
      <w:r w:rsidRPr="00227D69">
        <w:rPr>
          <w:b/>
          <w:szCs w:val="28"/>
        </w:rPr>
        <w:t>THEME CATEGORIES</w:t>
      </w:r>
    </w:p>
    <w:p w:rsidR="00227D69" w:rsidRPr="00227D69" w:rsidRDefault="00227D69" w:rsidP="00227D69">
      <w:pPr>
        <w:autoSpaceDE w:val="0"/>
        <w:autoSpaceDN w:val="0"/>
        <w:adjustRightInd w:val="0"/>
        <w:spacing w:line="240" w:lineRule="auto"/>
        <w:jc w:val="left"/>
        <w:rPr>
          <w:sz w:val="24"/>
        </w:rPr>
      </w:pPr>
    </w:p>
    <w:p w:rsidR="00227D69" w:rsidRPr="009C7D46" w:rsidRDefault="00227D69" w:rsidP="00227D69">
      <w:pPr>
        <w:autoSpaceDE w:val="0"/>
        <w:autoSpaceDN w:val="0"/>
        <w:adjustRightInd w:val="0"/>
        <w:spacing w:line="240" w:lineRule="auto"/>
        <w:jc w:val="left"/>
        <w:rPr>
          <w:szCs w:val="28"/>
        </w:rPr>
      </w:pPr>
    </w:p>
    <w:p w:rsidR="00227D69" w:rsidRPr="009C7D46" w:rsidRDefault="00227D69" w:rsidP="00227D69">
      <w:pPr>
        <w:autoSpaceDE w:val="0"/>
        <w:autoSpaceDN w:val="0"/>
        <w:adjustRightInd w:val="0"/>
        <w:spacing w:line="240" w:lineRule="auto"/>
        <w:jc w:val="left"/>
        <w:rPr>
          <w:color w:val="000000"/>
          <w:szCs w:val="28"/>
        </w:rPr>
      </w:pPr>
      <w:r w:rsidRPr="009C7D46">
        <w:rPr>
          <w:b/>
          <w:bCs/>
          <w:color w:val="000000"/>
          <w:szCs w:val="28"/>
        </w:rPr>
        <w:t>Theme 1 – Advancing competition advocacy in times of rapid changes in the global landscape</w:t>
      </w:r>
      <w:r w:rsidRPr="009C7D46">
        <w:rPr>
          <w:color w:val="000000"/>
          <w:szCs w:val="28"/>
        </w:rPr>
        <w:t xml:space="preserve"> </w:t>
      </w:r>
    </w:p>
    <w:p w:rsidR="009C7D46" w:rsidRDefault="009C7D46" w:rsidP="00227D69">
      <w:pPr>
        <w:autoSpaceDE w:val="0"/>
        <w:autoSpaceDN w:val="0"/>
        <w:adjustRightInd w:val="0"/>
        <w:spacing w:line="240" w:lineRule="auto"/>
        <w:jc w:val="left"/>
        <w:rPr>
          <w:color w:val="000000"/>
          <w:szCs w:val="28"/>
        </w:rPr>
      </w:pPr>
    </w:p>
    <w:p w:rsidR="00227D69" w:rsidRPr="009C7D46" w:rsidRDefault="00227D69" w:rsidP="00227D69">
      <w:pPr>
        <w:autoSpaceDE w:val="0"/>
        <w:autoSpaceDN w:val="0"/>
        <w:adjustRightInd w:val="0"/>
        <w:spacing w:line="240" w:lineRule="auto"/>
        <w:jc w:val="left"/>
        <w:rPr>
          <w:color w:val="000000"/>
          <w:szCs w:val="28"/>
        </w:rPr>
      </w:pPr>
      <w:r w:rsidRPr="009C7D46">
        <w:rPr>
          <w:color w:val="000000"/>
          <w:szCs w:val="28"/>
        </w:rPr>
        <w:t xml:space="preserve">Governments are increasingly turning to industrial policies, subsidies and state support to strengthen strategic sectors and supply chains. These measures can promote growth and resilience, but risk distorting markets if not designed with competition in mind. For example, evidence suggests that subsidies raise market share but not productivity: in an </w:t>
      </w:r>
      <w:hyperlink r:id="rId11" w:history="1">
        <w:r w:rsidRPr="009C7D46">
          <w:rPr>
            <w:color w:val="0000FF"/>
            <w:szCs w:val="28"/>
            <w:u w:val="single"/>
          </w:rPr>
          <w:t>OECD</w:t>
        </w:r>
      </w:hyperlink>
      <w:r w:rsidRPr="009C7D46">
        <w:rPr>
          <w:color w:val="000000"/>
          <w:szCs w:val="28"/>
        </w:rPr>
        <w:t xml:space="preserve"> working paper, subsidies to large manufacturing firms increased their global market shares but had no or negative impacts on investment and productivity. Competition advocacy is essential to ensure that measures targeting resilience and self-sufficiency promote efficiency and investment rather than distortions or market concentration. </w:t>
      </w:r>
    </w:p>
    <w:p w:rsidR="00227D69" w:rsidRPr="009C7D46" w:rsidRDefault="00227D69" w:rsidP="00227D69">
      <w:pPr>
        <w:autoSpaceDE w:val="0"/>
        <w:autoSpaceDN w:val="0"/>
        <w:adjustRightInd w:val="0"/>
        <w:spacing w:line="240" w:lineRule="auto"/>
        <w:jc w:val="left"/>
        <w:rPr>
          <w:color w:val="000000"/>
          <w:szCs w:val="28"/>
        </w:rPr>
      </w:pPr>
      <w:r w:rsidRPr="009C7D46">
        <w:rPr>
          <w:i/>
          <w:iCs/>
          <w:color w:val="000000"/>
          <w:szCs w:val="28"/>
        </w:rPr>
        <w:t>Initiatives under this theme show how agencies have supported policymakers to distinguish between interventions that genuinely address market failures, and those that primarily shield incumbents from competition.</w:t>
      </w:r>
      <w:r w:rsidRPr="009C7D46">
        <w:rPr>
          <w:color w:val="000000"/>
          <w:szCs w:val="28"/>
        </w:rPr>
        <w:t xml:space="preserve"> </w:t>
      </w:r>
    </w:p>
    <w:p w:rsidR="00227D69" w:rsidRPr="009C7D46" w:rsidRDefault="00227D69" w:rsidP="00227D69">
      <w:pPr>
        <w:autoSpaceDE w:val="0"/>
        <w:autoSpaceDN w:val="0"/>
        <w:adjustRightInd w:val="0"/>
        <w:spacing w:line="240" w:lineRule="auto"/>
        <w:jc w:val="left"/>
        <w:rPr>
          <w:color w:val="000000"/>
          <w:szCs w:val="28"/>
        </w:rPr>
      </w:pPr>
      <w:r w:rsidRPr="009C7D46">
        <w:rPr>
          <w:color w:val="000000"/>
          <w:szCs w:val="28"/>
        </w:rPr>
        <w:t xml:space="preserve"> </w:t>
      </w:r>
    </w:p>
    <w:p w:rsidR="00227D69" w:rsidRPr="009C7D46" w:rsidRDefault="00227D69" w:rsidP="00227D69">
      <w:pPr>
        <w:autoSpaceDE w:val="0"/>
        <w:autoSpaceDN w:val="0"/>
        <w:adjustRightInd w:val="0"/>
        <w:spacing w:line="240" w:lineRule="auto"/>
        <w:jc w:val="left"/>
        <w:rPr>
          <w:color w:val="000000"/>
          <w:szCs w:val="28"/>
        </w:rPr>
      </w:pPr>
      <w:r w:rsidRPr="009C7D46">
        <w:rPr>
          <w:b/>
          <w:bCs/>
          <w:color w:val="000000"/>
          <w:szCs w:val="28"/>
        </w:rPr>
        <w:t>Theme 2 – Promoting a culture of compliance through innovative advocacy and digital tools</w:t>
      </w:r>
      <w:r w:rsidRPr="009C7D46">
        <w:rPr>
          <w:color w:val="000000"/>
          <w:szCs w:val="28"/>
        </w:rPr>
        <w:t xml:space="preserve"> </w:t>
      </w:r>
    </w:p>
    <w:p w:rsidR="009C7D46" w:rsidRDefault="009C7D46" w:rsidP="00227D69">
      <w:pPr>
        <w:autoSpaceDE w:val="0"/>
        <w:autoSpaceDN w:val="0"/>
        <w:adjustRightInd w:val="0"/>
        <w:spacing w:line="240" w:lineRule="auto"/>
        <w:jc w:val="left"/>
        <w:rPr>
          <w:color w:val="000000"/>
          <w:szCs w:val="28"/>
        </w:rPr>
      </w:pPr>
    </w:p>
    <w:p w:rsidR="00227D69" w:rsidRPr="009C7D46" w:rsidRDefault="00227D69" w:rsidP="00227D69">
      <w:pPr>
        <w:autoSpaceDE w:val="0"/>
        <w:autoSpaceDN w:val="0"/>
        <w:adjustRightInd w:val="0"/>
        <w:spacing w:line="240" w:lineRule="auto"/>
        <w:jc w:val="left"/>
        <w:rPr>
          <w:color w:val="000000"/>
          <w:szCs w:val="28"/>
        </w:rPr>
      </w:pPr>
      <w:r w:rsidRPr="009C7D46">
        <w:rPr>
          <w:color w:val="000000"/>
          <w:szCs w:val="28"/>
        </w:rPr>
        <w:t xml:space="preserve">Building a culture of compliance is one of the cornerstones of effective competition policy. From AI-powered market screening to online training platforms, TV shows to summer schools, and interactive compliance programs for businesses, innovation can transform the way competition authorities engage with stakeholders. Digital tools offer new possibilities to detect, prevent, and communicate about anti-competitive behaviour. The rise of accessible technology and social media platforms also enables agencies to reach broader audiences and measure the effectiveness of their advocacy campaigns more precisely. </w:t>
      </w:r>
    </w:p>
    <w:p w:rsidR="00227D69" w:rsidRPr="009C7D46" w:rsidRDefault="00227D69" w:rsidP="00227D69">
      <w:pPr>
        <w:autoSpaceDE w:val="0"/>
        <w:autoSpaceDN w:val="0"/>
        <w:adjustRightInd w:val="0"/>
        <w:spacing w:line="240" w:lineRule="auto"/>
        <w:jc w:val="left"/>
        <w:rPr>
          <w:color w:val="000000"/>
          <w:szCs w:val="28"/>
        </w:rPr>
      </w:pPr>
      <w:r w:rsidRPr="009C7D46">
        <w:rPr>
          <w:i/>
          <w:iCs/>
          <w:color w:val="000000"/>
          <w:szCs w:val="28"/>
        </w:rPr>
        <w:t>Examples in this theme include innovative advocacy or digital solutions to promote compliance and build awareness, whether through partnerships with industry, public outreach or creative use of technology to encourage responsible business practices.</w:t>
      </w:r>
      <w:r w:rsidRPr="009C7D46">
        <w:rPr>
          <w:color w:val="000000"/>
          <w:szCs w:val="28"/>
        </w:rPr>
        <w:t xml:space="preserve"> </w:t>
      </w:r>
    </w:p>
    <w:p w:rsidR="00227D69" w:rsidRPr="009C7D46" w:rsidRDefault="00227D69" w:rsidP="00227D69">
      <w:pPr>
        <w:autoSpaceDE w:val="0"/>
        <w:autoSpaceDN w:val="0"/>
        <w:adjustRightInd w:val="0"/>
        <w:spacing w:line="240" w:lineRule="auto"/>
        <w:jc w:val="left"/>
        <w:rPr>
          <w:color w:val="000000"/>
          <w:szCs w:val="28"/>
        </w:rPr>
      </w:pPr>
      <w:r w:rsidRPr="009C7D46">
        <w:rPr>
          <w:color w:val="000000"/>
          <w:szCs w:val="28"/>
        </w:rPr>
        <w:t xml:space="preserve"> </w:t>
      </w:r>
    </w:p>
    <w:p w:rsidR="00227D69" w:rsidRPr="009C7D46" w:rsidRDefault="00227D69" w:rsidP="00227D69">
      <w:pPr>
        <w:autoSpaceDE w:val="0"/>
        <w:autoSpaceDN w:val="0"/>
        <w:adjustRightInd w:val="0"/>
        <w:spacing w:line="240" w:lineRule="auto"/>
        <w:jc w:val="left"/>
        <w:rPr>
          <w:color w:val="000000"/>
          <w:szCs w:val="28"/>
        </w:rPr>
      </w:pPr>
      <w:r w:rsidRPr="009C7D46">
        <w:rPr>
          <w:b/>
          <w:bCs/>
          <w:color w:val="000000"/>
          <w:szCs w:val="28"/>
        </w:rPr>
        <w:t>Theme 3 – Embedding competition principles in the green and digital transitions</w:t>
      </w:r>
      <w:r w:rsidRPr="009C7D46">
        <w:rPr>
          <w:color w:val="000000"/>
          <w:szCs w:val="28"/>
        </w:rPr>
        <w:t xml:space="preserve"> </w:t>
      </w:r>
    </w:p>
    <w:p w:rsidR="009C7D46" w:rsidRDefault="009C7D46" w:rsidP="00227D69">
      <w:pPr>
        <w:autoSpaceDE w:val="0"/>
        <w:autoSpaceDN w:val="0"/>
        <w:adjustRightInd w:val="0"/>
        <w:spacing w:line="240" w:lineRule="auto"/>
        <w:jc w:val="left"/>
        <w:rPr>
          <w:color w:val="000000"/>
          <w:szCs w:val="28"/>
        </w:rPr>
      </w:pPr>
    </w:p>
    <w:p w:rsidR="00227D69" w:rsidRPr="009C7D46" w:rsidRDefault="00227D69" w:rsidP="00227D69">
      <w:pPr>
        <w:autoSpaceDE w:val="0"/>
        <w:autoSpaceDN w:val="0"/>
        <w:adjustRightInd w:val="0"/>
        <w:spacing w:line="240" w:lineRule="auto"/>
        <w:jc w:val="left"/>
        <w:rPr>
          <w:color w:val="000000"/>
          <w:szCs w:val="28"/>
        </w:rPr>
      </w:pPr>
      <w:r w:rsidRPr="009C7D46">
        <w:rPr>
          <w:color w:val="000000"/>
          <w:szCs w:val="28"/>
        </w:rPr>
        <w:t xml:space="preserve">The green and digital transitions are reshaping economies and creating new markets, which can reinforce each other: digital technologies could cut </w:t>
      </w:r>
      <w:r w:rsidRPr="009C7D46">
        <w:rPr>
          <w:color w:val="000000"/>
          <w:szCs w:val="28"/>
        </w:rPr>
        <w:lastRenderedPageBreak/>
        <w:t>global greenhouse-gas emissions by up to 20 percent by 2050 in the energy, materials, and mobility sectors (</w:t>
      </w:r>
      <w:hyperlink r:id="rId12" w:history="1">
        <w:r w:rsidRPr="009C7D46">
          <w:rPr>
            <w:color w:val="0000FF"/>
            <w:szCs w:val="28"/>
            <w:u w:val="single"/>
          </w:rPr>
          <w:t>World Bank, 2023</w:t>
        </w:r>
      </w:hyperlink>
      <w:r w:rsidRPr="009C7D46">
        <w:rPr>
          <w:color w:val="000000"/>
          <w:szCs w:val="28"/>
        </w:rPr>
        <w:t xml:space="preserve">). However, these transformations also bring new risks of concentration and conducts. To ensure the transitions remain open and contestable, competition authorities are taking action on several fronts through scalable solutions. In digital markets, sector reviews expose competition risks in platforms, cloud, </w:t>
      </w:r>
      <w:proofErr w:type="spellStart"/>
      <w:r w:rsidRPr="009C7D46">
        <w:rPr>
          <w:color w:val="000000"/>
          <w:szCs w:val="28"/>
        </w:rPr>
        <w:t>adtech</w:t>
      </w:r>
      <w:proofErr w:type="spellEnd"/>
      <w:r w:rsidRPr="009C7D46">
        <w:rPr>
          <w:color w:val="000000"/>
          <w:szCs w:val="28"/>
        </w:rPr>
        <w:t xml:space="preserve"> and AI. Market studies and regulation together promote interoperability, data portability and fair access to essential inputs. In the green sphere, authorities are issuing guidelines that tie environmental subsidies to proportionality and competition safeguards, and publishing guidance that clarifies when firms can cooperate on sustainability goals. Through advocacy and monitoring, authorities also tackle practical barriers, such as grid access or regulatory bottlenecks, to enable entry and investment in emerging green sectors and critical minerals. </w:t>
      </w:r>
    </w:p>
    <w:p w:rsidR="00227D69" w:rsidRPr="009C7D46" w:rsidRDefault="00227D69" w:rsidP="00227D69">
      <w:pPr>
        <w:autoSpaceDE w:val="0"/>
        <w:autoSpaceDN w:val="0"/>
        <w:adjustRightInd w:val="0"/>
        <w:spacing w:line="240" w:lineRule="auto"/>
        <w:jc w:val="left"/>
        <w:rPr>
          <w:color w:val="000000"/>
          <w:szCs w:val="28"/>
        </w:rPr>
      </w:pPr>
      <w:r w:rsidRPr="009C7D46">
        <w:rPr>
          <w:i/>
          <w:iCs/>
          <w:color w:val="000000"/>
          <w:szCs w:val="28"/>
        </w:rPr>
        <w:t>This theme focuses on efforts to integrate competition principles into policies supporting digital or green transitions, including market studies, guidelines, regulation and collaboration with policy-makers.</w:t>
      </w:r>
      <w:r w:rsidRPr="009C7D46">
        <w:rPr>
          <w:color w:val="000000"/>
          <w:szCs w:val="28"/>
        </w:rPr>
        <w:t xml:space="preserve"> </w:t>
      </w:r>
    </w:p>
    <w:p w:rsidR="00227D69" w:rsidRPr="009C7D46" w:rsidRDefault="00227D69" w:rsidP="00227D69">
      <w:pPr>
        <w:autoSpaceDE w:val="0"/>
        <w:autoSpaceDN w:val="0"/>
        <w:adjustRightInd w:val="0"/>
        <w:spacing w:line="240" w:lineRule="auto"/>
        <w:jc w:val="left"/>
        <w:rPr>
          <w:color w:val="000000"/>
          <w:szCs w:val="28"/>
        </w:rPr>
      </w:pPr>
      <w:r w:rsidRPr="009C7D46">
        <w:rPr>
          <w:color w:val="000000"/>
          <w:szCs w:val="28"/>
        </w:rPr>
        <w:t xml:space="preserve"> </w:t>
      </w:r>
    </w:p>
    <w:p w:rsidR="00227D69" w:rsidRPr="009C7D46" w:rsidRDefault="00227D69" w:rsidP="00227D69">
      <w:pPr>
        <w:autoSpaceDE w:val="0"/>
        <w:autoSpaceDN w:val="0"/>
        <w:adjustRightInd w:val="0"/>
        <w:spacing w:line="240" w:lineRule="auto"/>
        <w:jc w:val="left"/>
        <w:rPr>
          <w:color w:val="000000"/>
          <w:szCs w:val="28"/>
        </w:rPr>
      </w:pPr>
      <w:r w:rsidRPr="009C7D46">
        <w:rPr>
          <w:b/>
          <w:bCs/>
          <w:color w:val="000000"/>
          <w:szCs w:val="28"/>
        </w:rPr>
        <w:t>Theme 4 – Global convergence vs. country specificity: contextualizing competition law and policy</w:t>
      </w:r>
      <w:r w:rsidRPr="009C7D46">
        <w:rPr>
          <w:color w:val="000000"/>
          <w:szCs w:val="28"/>
        </w:rPr>
        <w:t xml:space="preserve"> </w:t>
      </w:r>
    </w:p>
    <w:p w:rsidR="009C7D46" w:rsidRDefault="009C7D46" w:rsidP="00227D69">
      <w:pPr>
        <w:autoSpaceDE w:val="0"/>
        <w:autoSpaceDN w:val="0"/>
        <w:adjustRightInd w:val="0"/>
        <w:spacing w:line="240" w:lineRule="auto"/>
        <w:jc w:val="left"/>
        <w:rPr>
          <w:color w:val="000000"/>
          <w:szCs w:val="28"/>
        </w:rPr>
      </w:pPr>
    </w:p>
    <w:p w:rsidR="00227D69" w:rsidRPr="009C7D46" w:rsidRDefault="00227D69" w:rsidP="00227D69">
      <w:pPr>
        <w:autoSpaceDE w:val="0"/>
        <w:autoSpaceDN w:val="0"/>
        <w:adjustRightInd w:val="0"/>
        <w:spacing w:line="240" w:lineRule="auto"/>
        <w:jc w:val="left"/>
        <w:rPr>
          <w:color w:val="000000"/>
          <w:szCs w:val="28"/>
        </w:rPr>
      </w:pPr>
      <w:r w:rsidRPr="009C7D46">
        <w:rPr>
          <w:color w:val="000000"/>
          <w:szCs w:val="28"/>
        </w:rPr>
        <w:t xml:space="preserve">While competition law is grounded in common economic principles, its application must often reflect local realities. The ongoing debate between global convergence and national specificity raises important questions about how competition regimes can be adapted to diverse economic structures, levels of development and institutional capacities without compromising on their core goals. Many jurisdictions adapt global best practices to local and regional contexts shaped by informality, inequality, and structural market constraints. Advocating for policies that reflect these contexts, while maintaining clear consumer welfare and efficiency objectives, can enhance the legitimacy and effectiveness of competition systems. </w:t>
      </w:r>
    </w:p>
    <w:p w:rsidR="00227D69" w:rsidRPr="009C7D46" w:rsidRDefault="00227D69" w:rsidP="00227D69">
      <w:pPr>
        <w:autoSpaceDE w:val="0"/>
        <w:autoSpaceDN w:val="0"/>
        <w:adjustRightInd w:val="0"/>
        <w:spacing w:line="240" w:lineRule="auto"/>
        <w:jc w:val="left"/>
        <w:rPr>
          <w:color w:val="000000"/>
          <w:szCs w:val="28"/>
        </w:rPr>
      </w:pPr>
      <w:r w:rsidRPr="009C7D46">
        <w:rPr>
          <w:i/>
          <w:iCs/>
          <w:color w:val="000000"/>
          <w:szCs w:val="28"/>
        </w:rPr>
        <w:t>This theme explores how agencies have tailored competition advocacy and policy design, adapting to local policy needs without diluting the fundamental aims of competition law.</w:t>
      </w:r>
      <w:r w:rsidRPr="009C7D46">
        <w:rPr>
          <w:color w:val="000000"/>
          <w:szCs w:val="28"/>
        </w:rPr>
        <w:t xml:space="preserve"> </w:t>
      </w:r>
    </w:p>
    <w:p w:rsidR="009C7D46" w:rsidRPr="00227D69" w:rsidRDefault="009C7D46" w:rsidP="00227D69">
      <w:pPr>
        <w:autoSpaceDE w:val="0"/>
        <w:autoSpaceDN w:val="0"/>
        <w:adjustRightInd w:val="0"/>
        <w:spacing w:line="240" w:lineRule="auto"/>
        <w:jc w:val="left"/>
        <w:rPr>
          <w:color w:val="000000"/>
          <w:sz w:val="24"/>
        </w:rPr>
      </w:pPr>
    </w:p>
    <w:p w:rsidR="00227D69" w:rsidRPr="00227D69" w:rsidRDefault="00227D69" w:rsidP="00227D69">
      <w:pPr>
        <w:autoSpaceDE w:val="0"/>
        <w:autoSpaceDN w:val="0"/>
        <w:adjustRightInd w:val="0"/>
        <w:spacing w:line="240" w:lineRule="auto"/>
        <w:jc w:val="left"/>
        <w:rPr>
          <w:color w:val="000000"/>
          <w:sz w:val="24"/>
        </w:rPr>
      </w:pPr>
      <w:r w:rsidRPr="00227D69">
        <w:rPr>
          <w:color w:val="000000"/>
          <w:sz w:val="24"/>
        </w:rPr>
        <w:br/>
      </w:r>
    </w:p>
    <w:p w:rsidR="00227D69" w:rsidRPr="00227D69" w:rsidRDefault="00227D69" w:rsidP="00766055"/>
    <w:sectPr w:rsidR="00227D69" w:rsidRPr="00227D69" w:rsidSect="002D4C5B">
      <w:footerReference w:type="default" r:id="rId13"/>
      <w:footerReference w:type="first" r:id="rId14"/>
      <w:pgSz w:w="11906" w:h="16838"/>
      <w:pgMar w:top="1418" w:right="153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7D2" w:rsidRDefault="00EA07D2">
      <w:r>
        <w:separator/>
      </w:r>
    </w:p>
  </w:endnote>
  <w:endnote w:type="continuationSeparator" w:id="0">
    <w:p w:rsidR="00EA07D2" w:rsidRDefault="00EA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991324"/>
      <w:docPartObj>
        <w:docPartGallery w:val="Page Numbers (Bottom of Page)"/>
        <w:docPartUnique/>
      </w:docPartObj>
    </w:sdtPr>
    <w:sdtEndPr>
      <w:rPr>
        <w:rStyle w:val="ProvvNumeroPaginaCarattere"/>
        <w:sz w:val="22"/>
        <w:szCs w:val="22"/>
      </w:rPr>
    </w:sdtEndPr>
    <w:sdtContent>
      <w:p w:rsidR="007C1162" w:rsidRPr="007C1162" w:rsidRDefault="007C1162">
        <w:pPr>
          <w:pStyle w:val="Pidipagina"/>
          <w:jc w:val="right"/>
          <w:rPr>
            <w:rStyle w:val="ProvvNumeroPaginaCarattere"/>
          </w:rPr>
        </w:pPr>
        <w:r w:rsidRPr="007C1162">
          <w:rPr>
            <w:rStyle w:val="ProvvNumeroPaginaCarattere"/>
          </w:rPr>
          <w:fldChar w:fldCharType="begin"/>
        </w:r>
        <w:r w:rsidRPr="007C1162">
          <w:rPr>
            <w:rStyle w:val="ProvvNumeroPaginaCarattere"/>
          </w:rPr>
          <w:instrText>PAGE   \* MERGEFORMAT</w:instrText>
        </w:r>
        <w:r w:rsidRPr="007C1162">
          <w:rPr>
            <w:rStyle w:val="ProvvNumeroPaginaCarattere"/>
          </w:rPr>
          <w:fldChar w:fldCharType="separate"/>
        </w:r>
        <w:r w:rsidR="00DC3DE6">
          <w:rPr>
            <w:rStyle w:val="ProvvNumeroPaginaCarattere"/>
            <w:noProof/>
          </w:rPr>
          <w:t>1</w:t>
        </w:r>
        <w:r w:rsidRPr="007C1162">
          <w:rPr>
            <w:rStyle w:val="ProvvNumeroPaginaCarattere"/>
          </w:rPr>
          <w:fldChar w:fldCharType="end"/>
        </w:r>
      </w:p>
    </w:sdtContent>
  </w:sdt>
  <w:p w:rsidR="007C1162" w:rsidRDefault="007C11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11F" w:rsidRDefault="0070711F">
    <w:pPr>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noProof/>
        <w:sz w:val="16"/>
      </w:rPr>
      <w:t>1</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7D2" w:rsidRDefault="00EA07D2">
      <w:r>
        <w:separator/>
      </w:r>
    </w:p>
  </w:footnote>
  <w:footnote w:type="continuationSeparator" w:id="0">
    <w:p w:rsidR="00EA07D2" w:rsidRDefault="00EA0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0A7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E0B6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3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32C0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6098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082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685D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0FA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C27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A3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0A00A94"/>
    <w:lvl w:ilvl="0">
      <w:numFmt w:val="bullet"/>
      <w:lvlText w:val="*"/>
      <w:lvlJc w:val="left"/>
    </w:lvl>
  </w:abstractNum>
  <w:abstractNum w:abstractNumId="11" w15:restartNumberingAfterBreak="0">
    <w:nsid w:val="042409A3"/>
    <w:multiLevelType w:val="multilevel"/>
    <w:tmpl w:val="4B16F168"/>
    <w:lvl w:ilvl="0">
      <w:start w:val="1"/>
      <w:numFmt w:val="upperRoman"/>
      <w:lvlText w:val="%1."/>
      <w:lvlJc w:val="left"/>
      <w:pPr>
        <w:ind w:left="567" w:hanging="567"/>
      </w:pPr>
      <w:rPr>
        <w:rFonts w:ascii="Times New Roman" w:hAnsi="Times New Roman" w:hint="default"/>
        <w:b/>
        <w:i w:val="0"/>
        <w:caps/>
        <w:sz w:val="28"/>
      </w:rPr>
    </w:lvl>
    <w:lvl w:ilvl="1">
      <w:start w:val="1"/>
      <w:numFmt w:val="decimal"/>
      <w:lvlText w:val="%1.%2."/>
      <w:lvlJc w:val="left"/>
      <w:pPr>
        <w:ind w:left="737" w:hanging="737"/>
      </w:pPr>
      <w:rPr>
        <w:rFonts w:ascii="Times New Roman" w:hAnsi="Times New Roman" w:hint="default"/>
        <w:b/>
        <w:i/>
        <w:sz w:val="28"/>
      </w:rPr>
    </w:lvl>
    <w:lvl w:ilvl="2">
      <w:start w:val="1"/>
      <w:numFmt w:val="decimal"/>
      <w:lvlText w:val="%1.%2.%3."/>
      <w:lvlJc w:val="left"/>
      <w:pPr>
        <w:ind w:left="1134" w:hanging="1134"/>
      </w:pPr>
      <w:rPr>
        <w:rFonts w:ascii="Times New Roman" w:hAnsi="Times New Roman" w:hint="default"/>
        <w:b w:val="0"/>
        <w:i/>
        <w:sz w:val="28"/>
      </w:rPr>
    </w:lvl>
    <w:lvl w:ilvl="3">
      <w:start w:val="1"/>
      <w:numFmt w:val="lowerLetter"/>
      <w:lvlText w:val="%1.%2.%3.%4."/>
      <w:lvlJc w:val="left"/>
      <w:pPr>
        <w:ind w:left="1134" w:hanging="1134"/>
      </w:pPr>
      <w:rPr>
        <w:rFonts w:ascii="Times New Roman" w:hAnsi="Times New Roman" w:hint="default"/>
        <w:b w:val="0"/>
        <w:i/>
        <w:sz w:val="28"/>
      </w:rPr>
    </w:lvl>
    <w:lvl w:ilvl="4">
      <w:start w:val="1"/>
      <w:numFmt w:val="decimal"/>
      <w:lvlText w:val="%1.%2.%3.%4.%5."/>
      <w:lvlJc w:val="left"/>
      <w:pPr>
        <w:ind w:left="1418" w:hanging="1418"/>
      </w:pPr>
      <w:rPr>
        <w:rFonts w:ascii="Times New Roman" w:hAnsi="Times New Roman" w:hint="default"/>
        <w:b w:val="0"/>
        <w:i/>
        <w:sz w:val="28"/>
      </w:rPr>
    </w:lvl>
    <w:lvl w:ilvl="5">
      <w:start w:val="1"/>
      <w:numFmt w:val="decimal"/>
      <w:lvlText w:val="%1.%2.%3.%4.%5.%6"/>
      <w:lvlJc w:val="left"/>
      <w:pPr>
        <w:ind w:left="1588" w:hanging="1588"/>
      </w:pPr>
      <w:rPr>
        <w:rFonts w:ascii="Times New Roman" w:hAnsi="Times New Roman" w:hint="default"/>
        <w:b w:val="0"/>
        <w:i w:val="0"/>
        <w:sz w:val="28"/>
      </w:rPr>
    </w:lvl>
    <w:lvl w:ilvl="6">
      <w:start w:val="1"/>
      <w:numFmt w:val="decimal"/>
      <w:lvlText w:val="%1.%2.%3.%4.%5.%6.%7"/>
      <w:lvlJc w:val="left"/>
      <w:pPr>
        <w:ind w:left="2714" w:hanging="1296"/>
      </w:pPr>
      <w:rPr>
        <w:rFonts w:hint="default"/>
      </w:rPr>
    </w:lvl>
    <w:lvl w:ilvl="7">
      <w:start w:val="1"/>
      <w:numFmt w:val="decimal"/>
      <w:lvlText w:val="%1.%2.%3.%4.%5.%6.%7.%8"/>
      <w:lvlJc w:val="left"/>
      <w:pPr>
        <w:ind w:left="2858" w:hanging="1440"/>
      </w:pPr>
      <w:rPr>
        <w:rFonts w:hint="default"/>
      </w:rPr>
    </w:lvl>
    <w:lvl w:ilvl="8">
      <w:start w:val="1"/>
      <w:numFmt w:val="decimal"/>
      <w:lvlText w:val="%1.%2.%3.%4.%5.%6.%7.%8.%9"/>
      <w:lvlJc w:val="left"/>
      <w:pPr>
        <w:ind w:left="3002" w:hanging="1584"/>
      </w:pPr>
      <w:rPr>
        <w:rFonts w:hint="default"/>
      </w:rPr>
    </w:lvl>
  </w:abstractNum>
  <w:abstractNum w:abstractNumId="12" w15:restartNumberingAfterBreak="0">
    <w:nsid w:val="0FE14EB6"/>
    <w:multiLevelType w:val="multilevel"/>
    <w:tmpl w:val="4B16F168"/>
    <w:numStyleLink w:val="ProvvTitoli"/>
  </w:abstractNum>
  <w:abstractNum w:abstractNumId="13" w15:restartNumberingAfterBreak="0">
    <w:nsid w:val="11273E22"/>
    <w:multiLevelType w:val="multilevel"/>
    <w:tmpl w:val="4B16F168"/>
    <w:numStyleLink w:val="ProvvTitoli"/>
  </w:abstractNum>
  <w:abstractNum w:abstractNumId="14" w15:restartNumberingAfterBreak="0">
    <w:nsid w:val="18A9344B"/>
    <w:multiLevelType w:val="multilevel"/>
    <w:tmpl w:val="4B16F168"/>
    <w:numStyleLink w:val="ProvvTitoli"/>
  </w:abstractNum>
  <w:abstractNum w:abstractNumId="15" w15:restartNumberingAfterBreak="0">
    <w:nsid w:val="27E70A3E"/>
    <w:multiLevelType w:val="multilevel"/>
    <w:tmpl w:val="249AB572"/>
    <w:lvl w:ilvl="0">
      <w:start w:val="1"/>
      <w:numFmt w:val="upperRoman"/>
      <w:pStyle w:val="ProvvTitolo10"/>
      <w:lvlText w:val="%1."/>
      <w:lvlJc w:val="left"/>
      <w:pPr>
        <w:ind w:left="567" w:hanging="567"/>
      </w:pPr>
      <w:rPr>
        <w:rFonts w:ascii="Times New Roman" w:hAnsi="Times New Roman" w:hint="default"/>
        <w:b/>
        <w:i w:val="0"/>
        <w:caps/>
        <w:sz w:val="28"/>
      </w:rPr>
    </w:lvl>
    <w:lvl w:ilvl="1">
      <w:start w:val="1"/>
      <w:numFmt w:val="decimal"/>
      <w:pStyle w:val="ProvvTitolo20"/>
      <w:lvlText w:val="%1.%2."/>
      <w:lvlJc w:val="left"/>
      <w:pPr>
        <w:ind w:left="737" w:hanging="737"/>
      </w:pPr>
      <w:rPr>
        <w:rFonts w:ascii="Times New Roman" w:hAnsi="Times New Roman" w:hint="default"/>
        <w:b/>
        <w:i/>
        <w:sz w:val="28"/>
      </w:rPr>
    </w:lvl>
    <w:lvl w:ilvl="2">
      <w:start w:val="1"/>
      <w:numFmt w:val="decimal"/>
      <w:pStyle w:val="ProvvTitolo30"/>
      <w:lvlText w:val="%1.%2.%3."/>
      <w:lvlJc w:val="left"/>
      <w:pPr>
        <w:ind w:left="1134" w:hanging="1134"/>
      </w:pPr>
      <w:rPr>
        <w:rFonts w:ascii="Times New Roman" w:hAnsi="Times New Roman" w:hint="default"/>
        <w:b w:val="0"/>
        <w:i/>
        <w:sz w:val="28"/>
      </w:rPr>
    </w:lvl>
    <w:lvl w:ilvl="3">
      <w:start w:val="1"/>
      <w:numFmt w:val="lowerLetter"/>
      <w:pStyle w:val="ProvvTitolo40"/>
      <w:lvlText w:val="%1.%2.%3.%4."/>
      <w:lvlJc w:val="left"/>
      <w:pPr>
        <w:ind w:left="1134" w:hanging="1134"/>
      </w:pPr>
      <w:rPr>
        <w:rFonts w:ascii="Times New Roman" w:hAnsi="Times New Roman" w:hint="default"/>
        <w:b w:val="0"/>
        <w:i/>
        <w:sz w:val="28"/>
      </w:rPr>
    </w:lvl>
    <w:lvl w:ilvl="4">
      <w:start w:val="1"/>
      <w:numFmt w:val="decimal"/>
      <w:pStyle w:val="ProvvTitolo50"/>
      <w:lvlText w:val="%1.%2.%3.%4.%5."/>
      <w:lvlJc w:val="left"/>
      <w:pPr>
        <w:ind w:left="1418" w:hanging="141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588" w:hanging="1588"/>
      </w:pPr>
      <w:rPr>
        <w:rFonts w:ascii="Times New Roman" w:hAnsi="Times New Roman" w:hint="default"/>
        <w:b w:val="0"/>
        <w:i w:val="0"/>
        <w:sz w:val="28"/>
      </w:rPr>
    </w:lvl>
    <w:lvl w:ilvl="6">
      <w:start w:val="1"/>
      <w:numFmt w:val="decimal"/>
      <w:lvlText w:val="%1.%2.%3.%4.%5.%6.%7"/>
      <w:lvlJc w:val="left"/>
      <w:pPr>
        <w:ind w:left="2714" w:hanging="2714"/>
      </w:pPr>
      <w:rPr>
        <w:rFonts w:hint="default"/>
      </w:rPr>
    </w:lvl>
    <w:lvl w:ilvl="7">
      <w:start w:val="1"/>
      <w:numFmt w:val="decimal"/>
      <w:lvlText w:val="%1.%2.%3.%4.%5.%6.%7.%8"/>
      <w:lvlJc w:val="left"/>
      <w:pPr>
        <w:ind w:left="2858" w:hanging="2858"/>
      </w:pPr>
      <w:rPr>
        <w:rFonts w:hint="default"/>
      </w:rPr>
    </w:lvl>
    <w:lvl w:ilvl="8">
      <w:start w:val="1"/>
      <w:numFmt w:val="decimal"/>
      <w:lvlText w:val="%1.%2.%3.%4.%5.%6.%7.%8.%9"/>
      <w:lvlJc w:val="left"/>
      <w:pPr>
        <w:ind w:left="3002" w:hanging="3002"/>
      </w:pPr>
      <w:rPr>
        <w:rFonts w:hint="default"/>
      </w:rPr>
    </w:lvl>
  </w:abstractNum>
  <w:abstractNum w:abstractNumId="16" w15:restartNumberingAfterBreak="0">
    <w:nsid w:val="30DD3FB1"/>
    <w:multiLevelType w:val="hybridMultilevel"/>
    <w:tmpl w:val="2FDC8018"/>
    <w:lvl w:ilvl="0" w:tplc="967452F0">
      <w:start w:val="1"/>
      <w:numFmt w:val="decimal"/>
      <w:pStyle w:val="ProvvParagrafoNumerato"/>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14D65CD"/>
    <w:multiLevelType w:val="multilevel"/>
    <w:tmpl w:val="4B16F168"/>
    <w:numStyleLink w:val="ProvvTitoli"/>
  </w:abstractNum>
  <w:abstractNum w:abstractNumId="18" w15:restartNumberingAfterBreak="0">
    <w:nsid w:val="47DA483D"/>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9" w15:restartNumberingAfterBreak="0">
    <w:nsid w:val="54ED3EFB"/>
    <w:multiLevelType w:val="multilevel"/>
    <w:tmpl w:val="4B16F168"/>
    <w:numStyleLink w:val="ProvvTitoli"/>
  </w:abstractNum>
  <w:abstractNum w:abstractNumId="20" w15:restartNumberingAfterBreak="0">
    <w:nsid w:val="5E327083"/>
    <w:multiLevelType w:val="multilevel"/>
    <w:tmpl w:val="4B16F168"/>
    <w:numStyleLink w:val="ProvvTitoli"/>
  </w:abstractNum>
  <w:abstractNum w:abstractNumId="21" w15:restartNumberingAfterBreak="0">
    <w:nsid w:val="6F473A16"/>
    <w:multiLevelType w:val="hybridMultilevel"/>
    <w:tmpl w:val="D1A2D204"/>
    <w:lvl w:ilvl="0" w:tplc="B6C085EA">
      <w:start w:val="1"/>
      <w:numFmt w:val="bullet"/>
      <w:pStyle w:val="ProvvPuntoElenc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6EF0BDC"/>
    <w:multiLevelType w:val="multilevel"/>
    <w:tmpl w:val="4B16F168"/>
    <w:styleLink w:val="ProvvTitoli"/>
    <w:lvl w:ilvl="0">
      <w:start w:val="1"/>
      <w:numFmt w:val="upperRoman"/>
      <w:lvlText w:val="%1."/>
      <w:lvlJc w:val="left"/>
      <w:pPr>
        <w:ind w:left="567" w:hanging="567"/>
      </w:pPr>
      <w:rPr>
        <w:rFonts w:ascii="Times New Roman" w:hAnsi="Times New Roman" w:hint="default"/>
        <w:b/>
        <w:i w:val="0"/>
        <w:caps/>
        <w:sz w:val="28"/>
      </w:rPr>
    </w:lvl>
    <w:lvl w:ilvl="1">
      <w:start w:val="1"/>
      <w:numFmt w:val="decimal"/>
      <w:lvlText w:val="%1.%2."/>
      <w:lvlJc w:val="left"/>
      <w:pPr>
        <w:ind w:left="737" w:hanging="737"/>
      </w:pPr>
      <w:rPr>
        <w:rFonts w:ascii="Times New Roman" w:hAnsi="Times New Roman" w:hint="default"/>
        <w:b/>
        <w:i/>
        <w:sz w:val="28"/>
      </w:rPr>
    </w:lvl>
    <w:lvl w:ilvl="2">
      <w:start w:val="1"/>
      <w:numFmt w:val="decimal"/>
      <w:lvlText w:val="%1.%2.%3."/>
      <w:lvlJc w:val="left"/>
      <w:pPr>
        <w:ind w:left="1134" w:hanging="1134"/>
      </w:pPr>
      <w:rPr>
        <w:rFonts w:ascii="Times New Roman" w:hAnsi="Times New Roman" w:hint="default"/>
        <w:b w:val="0"/>
        <w:i/>
        <w:sz w:val="28"/>
      </w:rPr>
    </w:lvl>
    <w:lvl w:ilvl="3">
      <w:start w:val="1"/>
      <w:numFmt w:val="lowerLetter"/>
      <w:lvlText w:val="%1.%2.%3.%4."/>
      <w:lvlJc w:val="left"/>
      <w:pPr>
        <w:ind w:left="1134" w:hanging="1134"/>
      </w:pPr>
      <w:rPr>
        <w:rFonts w:ascii="Times New Roman" w:hAnsi="Times New Roman" w:hint="default"/>
        <w:b w:val="0"/>
        <w:i/>
        <w:sz w:val="28"/>
      </w:rPr>
    </w:lvl>
    <w:lvl w:ilvl="4">
      <w:start w:val="1"/>
      <w:numFmt w:val="decimal"/>
      <w:lvlText w:val="%1.%2.%3.%4.%5."/>
      <w:lvlJc w:val="left"/>
      <w:pPr>
        <w:ind w:left="1418" w:hanging="1418"/>
      </w:pPr>
      <w:rPr>
        <w:rFonts w:ascii="Times New Roman" w:hAnsi="Times New Roman" w:hint="default"/>
        <w:b w:val="0"/>
        <w:i/>
        <w:sz w:val="28"/>
      </w:rPr>
    </w:lvl>
    <w:lvl w:ilvl="5">
      <w:start w:val="1"/>
      <w:numFmt w:val="decimal"/>
      <w:lvlText w:val="%1.%2.%3.%4.%5.%6"/>
      <w:lvlJc w:val="left"/>
      <w:pPr>
        <w:ind w:left="1588" w:hanging="1588"/>
      </w:pPr>
      <w:rPr>
        <w:rFonts w:ascii="Times New Roman" w:hAnsi="Times New Roman" w:hint="default"/>
        <w:b w:val="0"/>
        <w:i w:val="0"/>
        <w:sz w:val="28"/>
      </w:rPr>
    </w:lvl>
    <w:lvl w:ilvl="6">
      <w:start w:val="1"/>
      <w:numFmt w:val="decimal"/>
      <w:lvlText w:val="%1.%2.%3.%4.%5.%6.%7"/>
      <w:lvlJc w:val="left"/>
      <w:pPr>
        <w:ind w:left="2714" w:hanging="1296"/>
      </w:pPr>
      <w:rPr>
        <w:rFonts w:hint="default"/>
      </w:rPr>
    </w:lvl>
    <w:lvl w:ilvl="7">
      <w:start w:val="1"/>
      <w:numFmt w:val="decimal"/>
      <w:lvlText w:val="%1.%2.%3.%4.%5.%6.%7.%8"/>
      <w:lvlJc w:val="left"/>
      <w:pPr>
        <w:ind w:left="2858" w:hanging="1440"/>
      </w:pPr>
      <w:rPr>
        <w:rFonts w:hint="default"/>
      </w:rPr>
    </w:lvl>
    <w:lvl w:ilvl="8">
      <w:start w:val="1"/>
      <w:numFmt w:val="decimal"/>
      <w:lvlText w:val="%1.%2.%3.%4.%5.%6.%7.%8.%9"/>
      <w:lvlJc w:val="left"/>
      <w:pPr>
        <w:ind w:left="3002" w:hanging="1584"/>
      </w:pPr>
      <w:rPr>
        <w:rFonts w:hint="default"/>
      </w:rPr>
    </w:lvl>
  </w:abstractNum>
  <w:abstractNum w:abstractNumId="23" w15:restartNumberingAfterBreak="0">
    <w:nsid w:val="77567137"/>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C825E45"/>
    <w:multiLevelType w:val="hybridMultilevel"/>
    <w:tmpl w:val="B2946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CB57E1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053E21"/>
    <w:multiLevelType w:val="multilevel"/>
    <w:tmpl w:val="4B16F168"/>
    <w:numStyleLink w:val="ProvvTitoli"/>
  </w:abstractNum>
  <w:num w:numId="1">
    <w:abstractNumId w:val="21"/>
  </w:num>
  <w:num w:numId="2">
    <w:abstractNumId w:val="9"/>
  </w:num>
  <w:num w:numId="3">
    <w:abstractNumId w:val="16"/>
  </w:num>
  <w:num w:numId="4">
    <w:abstractNumId w:val="19"/>
  </w:num>
  <w:num w:numId="5">
    <w:abstractNumId w:val="25"/>
  </w:num>
  <w:num w:numId="6">
    <w:abstractNumId w:val="18"/>
  </w:num>
  <w:num w:numId="7">
    <w:abstractNumId w:val="22"/>
  </w:num>
  <w:num w:numId="8">
    <w:abstractNumId w:val="23"/>
  </w:num>
  <w:num w:numId="9">
    <w:abstractNumId w:val="14"/>
  </w:num>
  <w:num w:numId="10">
    <w:abstractNumId w:val="12"/>
  </w:num>
  <w:num w:numId="11">
    <w:abstractNumId w:val="11"/>
  </w:num>
  <w:num w:numId="12">
    <w:abstractNumId w:val="13"/>
  </w:num>
  <w:num w:numId="13">
    <w:abstractNumId w:val="20"/>
  </w:num>
  <w:num w:numId="14">
    <w:abstractNumId w:val="26"/>
  </w:num>
  <w:num w:numId="15">
    <w:abstractNumId w:val="17"/>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2"/>
  </w:num>
  <w:num w:numId="21">
    <w:abstractNumId w:val="1"/>
  </w:num>
  <w:num w:numId="22">
    <w:abstractNumId w:val="0"/>
  </w:num>
  <w:num w:numId="23">
    <w:abstractNumId w:val="7"/>
  </w:num>
  <w:num w:numId="24">
    <w:abstractNumId w:val="6"/>
  </w:num>
  <w:num w:numId="25">
    <w:abstractNumId w:val="5"/>
  </w:num>
  <w:num w:numId="26">
    <w:abstractNumId w:val="4"/>
  </w:num>
  <w:num w:numId="27">
    <w:abstractNumId w:val="10"/>
    <w:lvlOverride w:ilvl="0">
      <w:lvl w:ilvl="0">
        <w:numFmt w:val="bullet"/>
        <w:lvlText w:val=""/>
        <w:legacy w:legacy="1" w:legacySpace="0" w:legacyIndent="0"/>
        <w:lvlJc w:val="left"/>
        <w:rPr>
          <w:rFonts w:ascii="Symbol" w:hAnsi="Symbol" w:hint="default"/>
          <w:sz w:val="22"/>
        </w:rPr>
      </w:lvl>
    </w:lvlOverride>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D2"/>
    <w:rsid w:val="00056A30"/>
    <w:rsid w:val="000A08E8"/>
    <w:rsid w:val="00114472"/>
    <w:rsid w:val="00164673"/>
    <w:rsid w:val="001C21AD"/>
    <w:rsid w:val="00227D69"/>
    <w:rsid w:val="002369DC"/>
    <w:rsid w:val="002828C7"/>
    <w:rsid w:val="002D4C5B"/>
    <w:rsid w:val="00337543"/>
    <w:rsid w:val="00341E98"/>
    <w:rsid w:val="0034221E"/>
    <w:rsid w:val="0039169F"/>
    <w:rsid w:val="003C5E10"/>
    <w:rsid w:val="003E33E1"/>
    <w:rsid w:val="00433172"/>
    <w:rsid w:val="0045659D"/>
    <w:rsid w:val="00472EEB"/>
    <w:rsid w:val="00491E17"/>
    <w:rsid w:val="004B69B4"/>
    <w:rsid w:val="004E61FF"/>
    <w:rsid w:val="00504A28"/>
    <w:rsid w:val="005119AF"/>
    <w:rsid w:val="005C1F55"/>
    <w:rsid w:val="005D0901"/>
    <w:rsid w:val="005E1051"/>
    <w:rsid w:val="005E64C9"/>
    <w:rsid w:val="00621B7C"/>
    <w:rsid w:val="006515C7"/>
    <w:rsid w:val="00653AD1"/>
    <w:rsid w:val="006D372C"/>
    <w:rsid w:val="0070711F"/>
    <w:rsid w:val="00723710"/>
    <w:rsid w:val="0074572B"/>
    <w:rsid w:val="00766055"/>
    <w:rsid w:val="00786343"/>
    <w:rsid w:val="007C1162"/>
    <w:rsid w:val="007D3BE0"/>
    <w:rsid w:val="008267A3"/>
    <w:rsid w:val="008639BE"/>
    <w:rsid w:val="008C038C"/>
    <w:rsid w:val="008E4BFB"/>
    <w:rsid w:val="009C7D46"/>
    <w:rsid w:val="009D5FB5"/>
    <w:rsid w:val="00A64F85"/>
    <w:rsid w:val="00A83DC0"/>
    <w:rsid w:val="00AB6F35"/>
    <w:rsid w:val="00B406B0"/>
    <w:rsid w:val="00B5369B"/>
    <w:rsid w:val="00BB7A26"/>
    <w:rsid w:val="00CB76CD"/>
    <w:rsid w:val="00D05140"/>
    <w:rsid w:val="00DC3DE6"/>
    <w:rsid w:val="00E01AE0"/>
    <w:rsid w:val="00E26795"/>
    <w:rsid w:val="00E55F6A"/>
    <w:rsid w:val="00E67EA6"/>
    <w:rsid w:val="00E67FF0"/>
    <w:rsid w:val="00EA07D2"/>
    <w:rsid w:val="00EA094D"/>
    <w:rsid w:val="00EE1CA9"/>
    <w:rsid w:val="00F84C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9CAF5"/>
  <w15:chartTrackingRefBased/>
  <w15:docId w15:val="{781CBE9B-5E90-43F6-BD30-72AA6600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D372C"/>
    <w:pPr>
      <w:spacing w:line="360" w:lineRule="atLeast"/>
      <w:jc w:val="both"/>
    </w:pPr>
    <w:rPr>
      <w:sz w:val="28"/>
      <w:szCs w:val="24"/>
      <w:lang w:val="en-GB"/>
    </w:rPr>
  </w:style>
  <w:style w:type="paragraph" w:styleId="Titolo1">
    <w:name w:val="heading 1"/>
    <w:basedOn w:val="Normale"/>
    <w:next w:val="Normale"/>
    <w:link w:val="Titolo1Carattere"/>
    <w:qFormat/>
    <w:rsid w:val="0074572B"/>
    <w:pPr>
      <w:keepNext/>
      <w:keepLines/>
      <w:numPr>
        <w:numId w:val="6"/>
      </w:numPr>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semiHidden/>
    <w:unhideWhenUsed/>
    <w:qFormat/>
    <w:rsid w:val="0074572B"/>
    <w:pPr>
      <w:keepNext/>
      <w:keepLines/>
      <w:numPr>
        <w:ilvl w:val="1"/>
        <w:numId w:val="6"/>
      </w:numPr>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4572B"/>
    <w:pPr>
      <w:keepNext/>
      <w:keepLines/>
      <w:numPr>
        <w:ilvl w:val="2"/>
        <w:numId w:val="6"/>
      </w:numPr>
      <w:spacing w:before="40"/>
      <w:outlineLvl w:val="2"/>
    </w:pPr>
    <w:rPr>
      <w:rFonts w:asciiTheme="majorHAnsi" w:eastAsiaTheme="majorEastAsia" w:hAnsiTheme="majorHAnsi" w:cstheme="majorBidi"/>
      <w:color w:val="243F60" w:themeColor="accent1" w:themeShade="7F"/>
      <w:sz w:val="24"/>
    </w:rPr>
  </w:style>
  <w:style w:type="paragraph" w:styleId="Titolo4">
    <w:name w:val="heading 4"/>
    <w:basedOn w:val="Normale"/>
    <w:next w:val="Normale"/>
    <w:link w:val="Titolo4Carattere"/>
    <w:semiHidden/>
    <w:unhideWhenUsed/>
    <w:qFormat/>
    <w:rsid w:val="0074572B"/>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semiHidden/>
    <w:unhideWhenUsed/>
    <w:qFormat/>
    <w:rsid w:val="0074572B"/>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rsid w:val="0074572B"/>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rsid w:val="0074572B"/>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rsid w:val="0074572B"/>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rsid w:val="0074572B"/>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TabellaFonti">
    <w:name w:val="Provv Tabella Fonti"/>
    <w:basedOn w:val="Normale"/>
    <w:next w:val="Normale"/>
    <w:qFormat/>
    <w:rsid w:val="0045659D"/>
    <w:pPr>
      <w:tabs>
        <w:tab w:val="left" w:pos="4842"/>
      </w:tabs>
      <w:spacing w:line="240" w:lineRule="atLeast"/>
      <w:jc w:val="left"/>
    </w:pPr>
    <w:rPr>
      <w:sz w:val="18"/>
      <w:szCs w:val="20"/>
    </w:rPr>
  </w:style>
  <w:style w:type="paragraph" w:customStyle="1" w:styleId="ProvvTitolo10">
    <w:name w:val="Provv Titolo 1.0"/>
    <w:next w:val="Normale"/>
    <w:qFormat/>
    <w:rsid w:val="00EE1CA9"/>
    <w:pPr>
      <w:keepNext/>
      <w:numPr>
        <w:numId w:val="16"/>
      </w:numPr>
      <w:spacing w:line="360" w:lineRule="atLeast"/>
    </w:pPr>
    <w:rPr>
      <w:b/>
      <w:caps/>
      <w:sz w:val="28"/>
    </w:rPr>
  </w:style>
  <w:style w:type="paragraph" w:customStyle="1" w:styleId="ProvvTitolo40">
    <w:name w:val="Provv Titolo 4.0"/>
    <w:next w:val="Normale"/>
    <w:qFormat/>
    <w:rsid w:val="00E55F6A"/>
    <w:pPr>
      <w:keepNext/>
      <w:numPr>
        <w:ilvl w:val="3"/>
        <w:numId w:val="16"/>
      </w:numPr>
      <w:spacing w:line="360" w:lineRule="atLeast"/>
      <w:ind w:left="851" w:hanging="851"/>
    </w:pPr>
    <w:rPr>
      <w:i/>
      <w:sz w:val="28"/>
    </w:rPr>
  </w:style>
  <w:style w:type="paragraph" w:customStyle="1" w:styleId="ProvvTitolo20">
    <w:name w:val="Provv Titolo 2.0"/>
    <w:next w:val="Normale"/>
    <w:qFormat/>
    <w:rsid w:val="00E55F6A"/>
    <w:pPr>
      <w:keepNext/>
      <w:numPr>
        <w:ilvl w:val="1"/>
        <w:numId w:val="16"/>
      </w:numPr>
      <w:spacing w:line="360" w:lineRule="atLeast"/>
      <w:ind w:left="567" w:hanging="567"/>
    </w:pPr>
    <w:rPr>
      <w:b/>
      <w:i/>
      <w:sz w:val="28"/>
    </w:rPr>
  </w:style>
  <w:style w:type="paragraph" w:customStyle="1" w:styleId="ProvvTitolo50">
    <w:name w:val="Provv Titolo 5.0"/>
    <w:next w:val="Normale"/>
    <w:qFormat/>
    <w:rsid w:val="00E55F6A"/>
    <w:pPr>
      <w:keepNext/>
      <w:numPr>
        <w:ilvl w:val="4"/>
        <w:numId w:val="16"/>
      </w:numPr>
      <w:spacing w:line="360" w:lineRule="atLeast"/>
      <w:ind w:left="1134" w:hanging="1134"/>
    </w:pPr>
    <w:rPr>
      <w:i/>
      <w:sz w:val="28"/>
    </w:rPr>
  </w:style>
  <w:style w:type="paragraph" w:customStyle="1" w:styleId="ProvvTitolo30">
    <w:name w:val="Provv Titolo 3.0"/>
    <w:next w:val="Normale"/>
    <w:qFormat/>
    <w:rsid w:val="00E55F6A"/>
    <w:pPr>
      <w:keepNext/>
      <w:numPr>
        <w:ilvl w:val="2"/>
        <w:numId w:val="16"/>
      </w:numPr>
      <w:spacing w:line="360" w:lineRule="atLeast"/>
      <w:ind w:left="709" w:hanging="709"/>
    </w:pPr>
    <w:rPr>
      <w:i/>
      <w:sz w:val="28"/>
    </w:rPr>
  </w:style>
  <w:style w:type="paragraph" w:styleId="Titolo">
    <w:name w:val="Title"/>
    <w:basedOn w:val="Normale"/>
    <w:next w:val="Normale"/>
    <w:link w:val="TitoloCarattere"/>
    <w:qFormat/>
    <w:rsid w:val="002D4C5B"/>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2D4C5B"/>
    <w:rPr>
      <w:rFonts w:asciiTheme="majorHAnsi" w:eastAsiaTheme="majorEastAsia" w:hAnsiTheme="majorHAnsi" w:cstheme="majorBidi"/>
      <w:spacing w:val="-10"/>
      <w:kern w:val="28"/>
      <w:sz w:val="56"/>
      <w:szCs w:val="56"/>
    </w:rPr>
  </w:style>
  <w:style w:type="character" w:styleId="Riferimentointenso">
    <w:name w:val="Intense Reference"/>
    <w:basedOn w:val="Carpredefinitoparagrafo"/>
    <w:uiPriority w:val="32"/>
    <w:qFormat/>
    <w:rsid w:val="002D4C5B"/>
    <w:rPr>
      <w:b/>
      <w:bCs/>
      <w:smallCaps/>
      <w:color w:val="4F81BD" w:themeColor="accent1"/>
      <w:spacing w:val="5"/>
    </w:rPr>
  </w:style>
  <w:style w:type="paragraph" w:customStyle="1" w:styleId="ProvvTabellaTesto">
    <w:name w:val="Provv Tabella Testo"/>
    <w:basedOn w:val="Normale"/>
    <w:link w:val="ProvvTabellaTestoCarattere"/>
    <w:qFormat/>
    <w:rsid w:val="007C1162"/>
    <w:pPr>
      <w:spacing w:before="60" w:after="60" w:line="240" w:lineRule="auto"/>
    </w:pPr>
    <w:rPr>
      <w:sz w:val="20"/>
      <w:szCs w:val="20"/>
    </w:rPr>
  </w:style>
  <w:style w:type="table" w:styleId="Grigliatabella">
    <w:name w:val="Table Grid"/>
    <w:basedOn w:val="Tabellanormale"/>
    <w:rsid w:val="00F84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vvTabellaTestoCarattere">
    <w:name w:val="Provv Tabella Testo Carattere"/>
    <w:basedOn w:val="Carpredefinitoparagrafo"/>
    <w:link w:val="ProvvTabellaTesto"/>
    <w:rsid w:val="007C1162"/>
  </w:style>
  <w:style w:type="paragraph" w:customStyle="1" w:styleId="ProvvTabellaTitolo">
    <w:name w:val="Provv Tabella Titolo"/>
    <w:basedOn w:val="ProvvTabellaTesto"/>
    <w:next w:val="Normale"/>
    <w:link w:val="ProvvTabellaTitoloCarattere"/>
    <w:qFormat/>
    <w:rsid w:val="0045659D"/>
    <w:rPr>
      <w:b/>
      <w:sz w:val="22"/>
      <w:szCs w:val="22"/>
    </w:rPr>
  </w:style>
  <w:style w:type="paragraph" w:styleId="Testonotaapidipagina">
    <w:name w:val="footnote text"/>
    <w:basedOn w:val="Normale"/>
    <w:link w:val="TestonotaapidipaginaCarattere"/>
    <w:semiHidden/>
    <w:unhideWhenUsed/>
    <w:rsid w:val="00F84C8B"/>
    <w:pPr>
      <w:spacing w:line="240" w:lineRule="auto"/>
    </w:pPr>
    <w:rPr>
      <w:sz w:val="20"/>
      <w:szCs w:val="20"/>
    </w:rPr>
  </w:style>
  <w:style w:type="character" w:customStyle="1" w:styleId="ProvvTabellaTitoloCarattere">
    <w:name w:val="Provv Tabella Titolo Carattere"/>
    <w:basedOn w:val="ProvvTabellaTestoCarattere"/>
    <w:link w:val="ProvvTabellaTitolo"/>
    <w:rsid w:val="0045659D"/>
    <w:rPr>
      <w:b/>
      <w:sz w:val="22"/>
      <w:szCs w:val="22"/>
    </w:rPr>
  </w:style>
  <w:style w:type="character" w:customStyle="1" w:styleId="TestonotaapidipaginaCarattere">
    <w:name w:val="Testo nota a piè di pagina Carattere"/>
    <w:basedOn w:val="Carpredefinitoparagrafo"/>
    <w:link w:val="Testonotaapidipagina"/>
    <w:semiHidden/>
    <w:rsid w:val="00F84C8B"/>
  </w:style>
  <w:style w:type="character" w:styleId="Rimandonotaapidipagina">
    <w:name w:val="footnote reference"/>
    <w:basedOn w:val="Carpredefinitoparagrafo"/>
    <w:semiHidden/>
    <w:unhideWhenUsed/>
    <w:rsid w:val="00F84C8B"/>
    <w:rPr>
      <w:vertAlign w:val="superscript"/>
    </w:rPr>
  </w:style>
  <w:style w:type="paragraph" w:customStyle="1" w:styleId="ProvvTestoNotaPiPagina">
    <w:name w:val="Provv Testo Nota Piè Pagina"/>
    <w:basedOn w:val="Testonotaapidipagina"/>
    <w:link w:val="ProvvTestoNotaPiPaginaCarattere"/>
    <w:qFormat/>
    <w:rsid w:val="00F84C8B"/>
    <w:pPr>
      <w:jc w:val="left"/>
    </w:pPr>
  </w:style>
  <w:style w:type="paragraph" w:styleId="Intestazione">
    <w:name w:val="header"/>
    <w:basedOn w:val="Normale"/>
    <w:link w:val="IntestazioneCarattere"/>
    <w:uiPriority w:val="99"/>
    <w:unhideWhenUsed/>
    <w:rsid w:val="007C1162"/>
    <w:pPr>
      <w:tabs>
        <w:tab w:val="center" w:pos="4819"/>
        <w:tab w:val="right" w:pos="9638"/>
      </w:tabs>
      <w:spacing w:line="240" w:lineRule="auto"/>
    </w:pPr>
  </w:style>
  <w:style w:type="character" w:customStyle="1" w:styleId="ProvvTestoNotaPiPaginaCarattere">
    <w:name w:val="Provv Testo Nota Piè Pagina Carattere"/>
    <w:basedOn w:val="TestonotaapidipaginaCarattere"/>
    <w:link w:val="ProvvTestoNotaPiPagina"/>
    <w:rsid w:val="00F84C8B"/>
  </w:style>
  <w:style w:type="character" w:customStyle="1" w:styleId="IntestazioneCarattere">
    <w:name w:val="Intestazione Carattere"/>
    <w:basedOn w:val="Carpredefinitoparagrafo"/>
    <w:link w:val="Intestazione"/>
    <w:uiPriority w:val="99"/>
    <w:rsid w:val="007C1162"/>
    <w:rPr>
      <w:sz w:val="28"/>
      <w:szCs w:val="24"/>
    </w:rPr>
  </w:style>
  <w:style w:type="paragraph" w:styleId="Pidipagina">
    <w:name w:val="footer"/>
    <w:basedOn w:val="Normale"/>
    <w:link w:val="PidipaginaCarattere"/>
    <w:uiPriority w:val="99"/>
    <w:unhideWhenUsed/>
    <w:rsid w:val="007C116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C1162"/>
    <w:rPr>
      <w:sz w:val="28"/>
      <w:szCs w:val="24"/>
    </w:rPr>
  </w:style>
  <w:style w:type="paragraph" w:customStyle="1" w:styleId="ProvvNumeroPagina">
    <w:name w:val="Provv Numero Pagina"/>
    <w:basedOn w:val="Pidipagina"/>
    <w:link w:val="ProvvNumeroPaginaCarattere"/>
    <w:qFormat/>
    <w:rsid w:val="007C1162"/>
    <w:pPr>
      <w:jc w:val="right"/>
    </w:pPr>
    <w:rPr>
      <w:sz w:val="22"/>
      <w:szCs w:val="22"/>
    </w:rPr>
  </w:style>
  <w:style w:type="character" w:styleId="Enfasiintensa">
    <w:name w:val="Intense Emphasis"/>
    <w:basedOn w:val="Carpredefinitoparagrafo"/>
    <w:uiPriority w:val="21"/>
    <w:rsid w:val="007C1162"/>
    <w:rPr>
      <w:i/>
      <w:iCs/>
      <w:color w:val="4F81BD" w:themeColor="accent1"/>
    </w:rPr>
  </w:style>
  <w:style w:type="character" w:customStyle="1" w:styleId="ProvvNumeroPaginaCarattere">
    <w:name w:val="Provv Numero Pagina Carattere"/>
    <w:basedOn w:val="PidipaginaCarattere"/>
    <w:link w:val="ProvvNumeroPagina"/>
    <w:rsid w:val="007C1162"/>
    <w:rPr>
      <w:sz w:val="22"/>
      <w:szCs w:val="22"/>
    </w:rPr>
  </w:style>
  <w:style w:type="paragraph" w:styleId="Paragrafoelenco">
    <w:name w:val="List Paragraph"/>
    <w:basedOn w:val="Normale"/>
    <w:uiPriority w:val="34"/>
    <w:qFormat/>
    <w:rsid w:val="007C1162"/>
    <w:pPr>
      <w:ind w:left="720"/>
      <w:contextualSpacing/>
    </w:pPr>
  </w:style>
  <w:style w:type="paragraph" w:customStyle="1" w:styleId="ProvvPuntoElenco">
    <w:name w:val="Provv Punto Elenco"/>
    <w:basedOn w:val="Normale"/>
    <w:link w:val="ProvvPuntoElencoCarattere"/>
    <w:qFormat/>
    <w:rsid w:val="006D372C"/>
    <w:pPr>
      <w:numPr>
        <w:numId w:val="1"/>
      </w:numPr>
      <w:spacing w:after="160"/>
      <w:contextualSpacing/>
    </w:pPr>
    <w:rPr>
      <w:rFonts w:eastAsiaTheme="minorHAnsi" w:cstheme="minorBidi"/>
      <w:szCs w:val="22"/>
      <w:lang w:eastAsia="en-US"/>
    </w:rPr>
  </w:style>
  <w:style w:type="paragraph" w:customStyle="1" w:styleId="ProvvParagrafoNumerato">
    <w:name w:val="Provv Paragrafo Numerato"/>
    <w:basedOn w:val="Normale"/>
    <w:link w:val="ProvvParagrafoNumeratoCarattere"/>
    <w:qFormat/>
    <w:rsid w:val="00E55F6A"/>
    <w:pPr>
      <w:numPr>
        <w:numId w:val="3"/>
      </w:numPr>
      <w:ind w:left="0" w:firstLine="0"/>
    </w:pPr>
  </w:style>
  <w:style w:type="character" w:customStyle="1" w:styleId="ProvvPuntoElencoCarattere">
    <w:name w:val="Provv Punto Elenco Carattere"/>
    <w:basedOn w:val="Carpredefinitoparagrafo"/>
    <w:link w:val="ProvvPuntoElenco"/>
    <w:rsid w:val="006D372C"/>
    <w:rPr>
      <w:rFonts w:eastAsiaTheme="minorHAnsi" w:cstheme="minorBidi"/>
      <w:sz w:val="28"/>
      <w:szCs w:val="22"/>
      <w:lang w:eastAsia="en-US"/>
    </w:rPr>
  </w:style>
  <w:style w:type="character" w:customStyle="1" w:styleId="ProvvParagrafoNumeratoCarattere">
    <w:name w:val="Provv Paragrafo Numerato Carattere"/>
    <w:basedOn w:val="Carpredefinitoparagrafo"/>
    <w:link w:val="ProvvParagrafoNumerato"/>
    <w:rsid w:val="00E55F6A"/>
    <w:rPr>
      <w:sz w:val="28"/>
      <w:szCs w:val="24"/>
    </w:rPr>
  </w:style>
  <w:style w:type="character" w:customStyle="1" w:styleId="Titolo1Carattere">
    <w:name w:val="Titolo 1 Carattere"/>
    <w:basedOn w:val="Carpredefinitoparagrafo"/>
    <w:link w:val="Titolo1"/>
    <w:rsid w:val="0074572B"/>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semiHidden/>
    <w:rsid w:val="0074572B"/>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semiHidden/>
    <w:rsid w:val="0074572B"/>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semiHidden/>
    <w:rsid w:val="0074572B"/>
    <w:rPr>
      <w:rFonts w:asciiTheme="majorHAnsi" w:eastAsiaTheme="majorEastAsia" w:hAnsiTheme="majorHAnsi" w:cstheme="majorBidi"/>
      <w:i/>
      <w:iCs/>
      <w:color w:val="365F91" w:themeColor="accent1" w:themeShade="BF"/>
      <w:sz w:val="28"/>
      <w:szCs w:val="24"/>
    </w:rPr>
  </w:style>
  <w:style w:type="character" w:customStyle="1" w:styleId="Titolo5Carattere">
    <w:name w:val="Titolo 5 Carattere"/>
    <w:basedOn w:val="Carpredefinitoparagrafo"/>
    <w:link w:val="Titolo5"/>
    <w:semiHidden/>
    <w:rsid w:val="0074572B"/>
    <w:rPr>
      <w:rFonts w:asciiTheme="majorHAnsi" w:eastAsiaTheme="majorEastAsia" w:hAnsiTheme="majorHAnsi" w:cstheme="majorBidi"/>
      <w:color w:val="365F91" w:themeColor="accent1" w:themeShade="BF"/>
      <w:sz w:val="28"/>
      <w:szCs w:val="24"/>
    </w:rPr>
  </w:style>
  <w:style w:type="character" w:customStyle="1" w:styleId="Titolo6Carattere">
    <w:name w:val="Titolo 6 Carattere"/>
    <w:basedOn w:val="Carpredefinitoparagrafo"/>
    <w:link w:val="Titolo6"/>
    <w:semiHidden/>
    <w:rsid w:val="0074572B"/>
    <w:rPr>
      <w:rFonts w:asciiTheme="majorHAnsi" w:eastAsiaTheme="majorEastAsia" w:hAnsiTheme="majorHAnsi" w:cstheme="majorBidi"/>
      <w:color w:val="243F60" w:themeColor="accent1" w:themeShade="7F"/>
      <w:sz w:val="28"/>
      <w:szCs w:val="24"/>
    </w:rPr>
  </w:style>
  <w:style w:type="character" w:customStyle="1" w:styleId="Titolo7Carattere">
    <w:name w:val="Titolo 7 Carattere"/>
    <w:basedOn w:val="Carpredefinitoparagrafo"/>
    <w:link w:val="Titolo7"/>
    <w:semiHidden/>
    <w:rsid w:val="0074572B"/>
    <w:rPr>
      <w:rFonts w:asciiTheme="majorHAnsi" w:eastAsiaTheme="majorEastAsia" w:hAnsiTheme="majorHAnsi" w:cstheme="majorBidi"/>
      <w:i/>
      <w:iCs/>
      <w:color w:val="243F60" w:themeColor="accent1" w:themeShade="7F"/>
      <w:sz w:val="28"/>
      <w:szCs w:val="24"/>
    </w:rPr>
  </w:style>
  <w:style w:type="character" w:customStyle="1" w:styleId="Titolo8Carattere">
    <w:name w:val="Titolo 8 Carattere"/>
    <w:basedOn w:val="Carpredefinitoparagrafo"/>
    <w:link w:val="Titolo8"/>
    <w:semiHidden/>
    <w:rsid w:val="0074572B"/>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semiHidden/>
    <w:rsid w:val="0074572B"/>
    <w:rPr>
      <w:rFonts w:asciiTheme="majorHAnsi" w:eastAsiaTheme="majorEastAsia" w:hAnsiTheme="majorHAnsi" w:cstheme="majorBidi"/>
      <w:i/>
      <w:iCs/>
      <w:color w:val="272727" w:themeColor="text1" w:themeTint="D8"/>
      <w:sz w:val="21"/>
      <w:szCs w:val="21"/>
    </w:rPr>
  </w:style>
  <w:style w:type="numbering" w:customStyle="1" w:styleId="ProvvTitoli">
    <w:name w:val="Provv_Titoli"/>
    <w:uiPriority w:val="99"/>
    <w:rsid w:val="0074572B"/>
    <w:pPr>
      <w:numPr>
        <w:numId w:val="7"/>
      </w:numPr>
    </w:pPr>
  </w:style>
  <w:style w:type="paragraph" w:styleId="Sottotitolo">
    <w:name w:val="Subtitle"/>
    <w:basedOn w:val="Normale"/>
    <w:next w:val="Normale"/>
    <w:link w:val="SottotitoloCarattere"/>
    <w:qFormat/>
    <w:rsid w:val="0074572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74572B"/>
    <w:rPr>
      <w:rFonts w:asciiTheme="minorHAnsi" w:eastAsiaTheme="minorEastAsia" w:hAnsiTheme="minorHAnsi" w:cstheme="minorBidi"/>
      <w:color w:val="5A5A5A" w:themeColor="text1" w:themeTint="A5"/>
      <w:spacing w:val="15"/>
      <w:sz w:val="22"/>
      <w:szCs w:val="22"/>
    </w:rPr>
  </w:style>
  <w:style w:type="paragraph" w:customStyle="1" w:styleId="ProvvTabellaPrimaRiga">
    <w:name w:val="Provv Tabella Prima Riga"/>
    <w:basedOn w:val="ProvvTabellaTitolo"/>
    <w:link w:val="ProvvTabellaPrimaRigaCarattere"/>
    <w:qFormat/>
    <w:rsid w:val="00E55F6A"/>
  </w:style>
  <w:style w:type="character" w:customStyle="1" w:styleId="ProvvTabellaPrimaRigaCarattere">
    <w:name w:val="Provv Tabella Prima Riga Carattere"/>
    <w:basedOn w:val="ProvvTabellaTitoloCarattere"/>
    <w:link w:val="ProvvTabellaPrimaRiga"/>
    <w:rsid w:val="00E55F6A"/>
    <w:rPr>
      <w:b/>
      <w:sz w:val="22"/>
      <w:szCs w:val="22"/>
    </w:rPr>
  </w:style>
  <w:style w:type="character" w:styleId="Collegamentoipertestuale">
    <w:name w:val="Hyperlink"/>
    <w:basedOn w:val="Carpredefinitoparagrafo"/>
    <w:unhideWhenUsed/>
    <w:rsid w:val="004B69B4"/>
    <w:rPr>
      <w:color w:val="0000FF" w:themeColor="hyperlink"/>
      <w:u w:val="single"/>
    </w:rPr>
  </w:style>
  <w:style w:type="character" w:styleId="Menzionenonrisolta">
    <w:name w:val="Unresolved Mention"/>
    <w:basedOn w:val="Carpredefinitoparagrafo"/>
    <w:uiPriority w:val="99"/>
    <w:semiHidden/>
    <w:unhideWhenUsed/>
    <w:rsid w:val="004B69B4"/>
    <w:rPr>
      <w:color w:val="605E5C"/>
      <w:shd w:val="clear" w:color="auto" w:fill="E1DFDD"/>
    </w:rPr>
  </w:style>
  <w:style w:type="character" w:styleId="Collegamentovisitato">
    <w:name w:val="FollowedHyperlink"/>
    <w:basedOn w:val="Carpredefinitoparagrafo"/>
    <w:semiHidden/>
    <w:unhideWhenUsed/>
    <w:rsid w:val="002369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dagcm.urlsand.com/?u=https%3A%2F%2Fopenknowledge.worldbank.org%2Fserver%2Fapi%2Fcore%2Fbitstreams%2Fd23c580e-617a-4c94-b844-9032f4b0250b%2Fcontent&amp;e=e91aaab6&amp;h=6319a178&amp;f=y&amp;p=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dagcm.urlsand.com/?u=https%3A%2F%2Fwww.oecd.org%2Fen%2Fpublications%2Fthe-market-implications-of-industrial-subsidies_e40b793f-en.html&amp;e=e91aaab6&amp;h=abc398b9&amp;f=y&amp;p=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orldbank.org/en/events/2025/12/05/competition-advocacy-contest-2026" TargetMode="External"/><Relationship Id="rId4" Type="http://schemas.openxmlformats.org/officeDocument/2006/relationships/settings" Target="settings.xml"/><Relationship Id="rId9" Type="http://schemas.openxmlformats.org/officeDocument/2006/relationships/hyperlink" Target="https://www.internationalcompetitionnetwork.org/members/"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FD411-B674-435E-B074-A1ED1459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1181</Words>
  <Characters>7991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y</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dc:title>
  <dc:subject>y</dc:subject>
  <dc:creator>Michele PACILLO</dc:creator>
  <cp:keywords>LP/COMP</cp:keywords>
  <dc:description/>
  <cp:lastModifiedBy>Michele Pacillo</cp:lastModifiedBy>
  <cp:revision>9</cp:revision>
  <dcterms:created xsi:type="dcterms:W3CDTF">2024-02-02T10:57:00Z</dcterms:created>
  <dcterms:modified xsi:type="dcterms:W3CDTF">2025-12-05T22:45:00Z</dcterms:modified>
</cp:coreProperties>
</file>